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er12.xml" ContentType="application/vnd.openxmlformats-officedocument.wordprocessingml.footer+xml"/>
  <Override PartName="/word/styles.xml" ContentType="application/vnd.openxmlformats-officedocument.wordprocessingml.styles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21.xml" ContentType="application/vnd.openxmlformats-officedocument.wordprocessingml.footer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footer16.xml" ContentType="application/vnd.openxmlformats-officedocument.wordprocessingml.footer+xml"/>
  <Override PartName="/word/footer5.xml" ContentType="application/vnd.openxmlformats-officedocument.wordprocessingml.footer+xml"/>
  <Override PartName="/word/footer22.xml" ContentType="application/vnd.openxmlformats-officedocument.wordprocessingml.footer+xml"/>
  <Override PartName="/word/footer6.xml" ContentType="application/vnd.openxmlformats-officedocument.wordprocessingml.footer+xml"/>
  <Override PartName="/word/footer23.xml" ContentType="application/vnd.openxmlformats-officedocument.wordprocessingml.footer+xml"/>
  <Override PartName="/word/footer7.xml" ContentType="application/vnd.openxmlformats-officedocument.wordprocessingml.footer+xml"/>
  <Override PartName="/word/footer24.xml" ContentType="application/vnd.openxmlformats-officedocument.wordprocessingml.footer+xml"/>
  <Override PartName="/word/footer8.xml" ContentType="application/vnd.openxmlformats-officedocument.wordprocessingml.footer+xml"/>
  <Override PartName="/word/footer25.xml" ContentType="application/vnd.openxmlformats-officedocument.wordprocessingml.footer+xml"/>
  <Override PartName="/word/footer9.xml" ContentType="application/vnd.openxmlformats-officedocument.wordprocessingml.footer+xml"/>
  <Override PartName="/word/footer26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footer19.xml" ContentType="application/vnd.openxmlformats-officedocument.wordprocessingml.footer+xml"/>
  <Override PartName="/word/footer27.xml" ContentType="application/vnd.openxmlformats-officedocument.wordprocessingml.footer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/>
          <w:i/>
          <w:i/>
          <w:sz w:val="20"/>
          <w:u w:val="thick"/>
        </w:rPr>
      </w:pPr>
      <w:r>
        <w:rPr>
          <w:rFonts w:eastAsia="Times New Roman" w:cs="Times New Roman"/>
          <w:b/>
          <w:i/>
          <w:sz w:val="20"/>
          <w:u w:val="thick"/>
        </w:rPr>
        <w:t>Projekt</w:t>
      </w:r>
    </w:p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/>
          <w:i/>
          <w:i/>
          <w:sz w:val="20"/>
          <w:u w:val="thick"/>
        </w:rPr>
      </w:pPr>
      <w:r>
        <w:rPr>
          <w:rFonts w:eastAsia="Times New Roman" w:cs="Times New Roman"/>
          <w:b/>
          <w:i/>
          <w:sz w:val="20"/>
          <w:u w:val="thick"/>
        </w:rPr>
      </w:r>
    </w:p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sz w:val="20"/>
          <w:u w:val="none"/>
        </w:rPr>
      </w:pPr>
      <w:r>
        <w:rPr>
          <w:rFonts w:eastAsia="Times New Roman" w:cs="Times New Roman"/>
          <w:b w:val="false"/>
          <w:i w:val="false"/>
          <w:sz w:val="20"/>
          <w:u w:val="none"/>
        </w:rPr>
        <w:t>z dnia  18 marca 2025 r.</w:t>
      </w:r>
    </w:p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sz w:val="20"/>
          <w:u w:val="none"/>
        </w:rPr>
      </w:pPr>
      <w:r>
        <w:rPr>
          <w:rFonts w:eastAsia="Times New Roman" w:cs="Times New Roman"/>
          <w:b w:val="false"/>
          <w:i w:val="false"/>
          <w:sz w:val="20"/>
          <w:u w:val="none"/>
        </w:rPr>
        <w:t>Zatwierdzony przez .........................</w:t>
      </w:r>
    </w:p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sz w:val="20"/>
          <w:u w:val="none"/>
        </w:rPr>
      </w:pPr>
      <w:r>
        <w:rPr>
          <w:rFonts w:eastAsia="Times New Roman" w:cs="Times New Roman"/>
          <w:b w:val="false"/>
          <w:i w:val="false"/>
          <w:sz w:val="20"/>
          <w:u w:val="none"/>
        </w:rPr>
      </w:r>
    </w:p>
    <w:p>
      <w:pPr>
        <w:pStyle w:val="Normal"/>
        <w:spacing w:before="0" w:after="0"/>
        <w:ind w:left="566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sz w:val="20"/>
          <w:u w:val="none"/>
        </w:rPr>
      </w:pPr>
      <w:r>
        <w:rPr>
          <w:rFonts w:eastAsia="Times New Roman" w:cs="Times New Roman"/>
          <w:b w:val="false"/>
          <w:i w:val="false"/>
          <w:sz w:val="20"/>
          <w:u w:val="none"/>
        </w:rPr>
      </w:r>
    </w:p>
    <w:p>
      <w:pPr>
        <w:pStyle w:val="Normal"/>
        <w:spacing w:lineRule="auto" w:line="240" w:before="0" w:after="0"/>
        <w:ind w:left="0" w:right="0"/>
        <w:jc w:val="center"/>
        <w:rPr>
          <w:rFonts w:ascii="Times New Roman" w:hAnsi="Times New Roman" w:eastAsia="Times New Roman" w:cs="Times New Roman"/>
          <w:b/>
          <w:i w:val="false"/>
          <w:i w:val="false"/>
          <w:caps/>
          <w:sz w:val="22"/>
          <w:u w:val="none"/>
        </w:rPr>
      </w:pPr>
      <w:r>
        <w:rPr>
          <w:rFonts w:eastAsia="Times New Roman" w:cs="Times New Roman"/>
          <w:b/>
          <w:i w:val="false"/>
          <w:caps/>
          <w:sz w:val="22"/>
          <w:u w:val="none"/>
        </w:rPr>
        <w:t>Uchwała Nr ....................</w:t>
        <w:br/>
        <w:t>Rady Gminy Mokrsko</w:t>
      </w:r>
    </w:p>
    <w:p>
      <w:pPr>
        <w:pStyle w:val="Normal"/>
        <w:spacing w:lineRule="auto" w:line="240" w:before="280" w:after="280"/>
        <w:ind w:left="0" w:right="0"/>
        <w:jc w:val="center"/>
        <w:rPr>
          <w:rFonts w:ascii="Times New Roman" w:hAnsi="Times New Roman" w:eastAsia="Times New Roman" w:cs="Times New Roman"/>
          <w:b/>
          <w:i w:val="false"/>
          <w:i w:val="false"/>
          <w:caps/>
          <w:sz w:val="22"/>
          <w:u w:val="none"/>
        </w:rPr>
      </w:pPr>
      <w:r>
        <w:rPr>
          <w:rFonts w:eastAsia="Times New Roman" w:cs="Times New Roman"/>
          <w:b w:val="false"/>
          <w:caps w:val="false"/>
          <w:smallCaps w:val="false"/>
          <w:sz w:val="22"/>
        </w:rPr>
        <w:t>z dnia .................... 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</w:pPr>
      <w:r>
        <w:rPr>
          <w:rFonts w:eastAsia="Times New Roman" w:cs="Times New Roman"/>
          <w:b/>
          <w:i w:val="false"/>
          <w:caps w:val="false"/>
          <w:smallCaps w:val="false"/>
          <w:sz w:val="22"/>
          <w:u w:val="none"/>
        </w:rPr>
        <w:t>w sprawie uchwalenia miejscowego planu zagospodarowania przestrzennego dla obszarów położonych w gminie Mokrsko – etap I</w:t>
      </w:r>
    </w:p>
    <w:p>
      <w:pPr>
        <w:pStyle w:val="Normal"/>
        <w:keepNext w:val="false"/>
        <w:keepLines/>
        <w:spacing w:lineRule="auto" w:line="240" w:before="120" w:after="120"/>
        <w:ind w:firstLine="227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</w:pP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  <w:t>Na podstawie art. 20 ust. 1, ustawy z dnia 27 marca 2003 r. o planowaniu i zagospodarowaniu przestrzennym (Dz. U. z 2024 r. poz. 1130, 1907 i 1940), art. 18 ust. 2 pkt 5 ustawy z dnia 8 marca 1990 r. o samorządzie gminnym (Dz. U. z 2024 r. poz. 1465, 1572, 1907 i 1940) oraz w związku z uchwałą Nr XL/227/22 Rady Gminy Mokrsko z dnia 16 marca 2022 r. w sprawie przystąpienia do sporządzenia miejscowego planu zagospodarowania przestrzennego dla obszarów położonych w gminie Mokrsko, stwierdzając, że niniejszy plan nie narusza ustaleń Studium uwarunkowań i kierunków zagospodarowania przestrzennego gminy Mokrsko, przyjętego uchwałą Nr XX/112/16 Rady Gminy Mokrsko z dnia 30 maja 2016 r., uchwala się, co następuje:</w:t>
      </w:r>
    </w:p>
    <w:p>
      <w:pPr>
        <w:pStyle w:val="Normal"/>
        <w:keepNext w:val="true"/>
        <w:keepLines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</w:pPr>
      <w:r>
        <w:rPr>
          <w:rFonts w:eastAsia="Times New Roman" w:cs="Times New Roman"/>
          <w:b/>
          <w:caps w:val="false"/>
          <w:smallCaps w:val="false"/>
          <w:sz w:val="22"/>
        </w:rPr>
        <w:t>Rozdział 1.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  <w:br/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auto"/>
          <w:sz w:val="22"/>
          <w:u w:val="none"/>
        </w:rPr>
        <w:t>Zakres obowiązywania planu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auto"/>
          <w:position w:val="0"/>
          <w:sz w:val="22"/>
          <w:sz w:val="22"/>
          <w:u w:val="none"/>
          <w:vertAlign w:val="baseline"/>
        </w:rPr>
        <w:t>Uchwala się miejscowy plan zagospodarowania przestrzennego dla obszarów położonych w gminie Mokrsko – etap I, składający się z: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części tekstowej planu stanowiącej treść niniejszej uchwały;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części graficznej, na którą składają się rysunki planu w skali 1:1000, będące integralnymi załącznikami do uchwały: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1A, 1B, 1C, stanowiące części obrębu Mokrsko,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1E i 1F stanowiące części obrębu Krzyworzeka;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rozstrzygnięcia o sposobie realizacji, zapisanych w planie, inwestycji z zakresu infrastruktury technicznej, które należą do zadań własnych gminy, oraz zasadach ich finansowania, będącego integralnym załącznikiem Nr 2 do uchwały;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danych przestrzennych stanowiących załącznik Nr 3 do uchwały.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Nie załącza się rozstrzygnięcia o sposobie rozpatrzenia nieuwzględnionych uwag, ponieważ do projektu niniejszego planu uwagi nie wpłynęły.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Granice planu, o którym mowa w ust. 1, wyznaczono na 5 rysunkach planu stanowiących załączniki od nr 1A do do nr 1C oraz nr1E i nr 1F do niniejszej uchwały, zgodnie z granicami określonymi na załącznikach graficznych od nr 1 do nr 3 oraz nr 5 i nr 6 do uchwały Nr XL/227/22 Rady Gminy Mokrsko z dnia 16 marca 2022 r. w sprawie przystąpienia do sporządzenia miejscowego planu zagospodarowania przestrzennego dla obszarów położonych w gminie Mokrsko.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2.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Ilekroć w niniejszej uchwale jest mowa o: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planie –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należy przez to rozumieć ustalenia miejscowego planu zagospodarowania przestrzennego dla obszarów położonych w gminie Mokrsko - etap 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rysunku planu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- należy przez to rozumieć rysunki w skali 1:1000 zawierające ustalenia graficzne, będący załącznikami do niniejszej uchwały od nr 1A do nr 1C oraz nr 1E i nr 1F i stanowiącymi jej integralną część;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obszarze planu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– należy przez to rozumieć obszar zawarty w granicach określonych załącznikami graficznymi od nr 1 do nr 3 oraz nr 5 i nr 6 do uchwały Nr XL/227/22 Rady Gminy Mokrsko z dnia 16 marca 2022 roku. w sprawie przystąpienia do sporządzenia miejscowego planu zagospodarowania przestrzennego dla obszarów położonych w gminie Mokrsko;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terenie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- należy przez to rozumieć wydzieloną liniami rozgraniczającymi jednostkę ustaleń planu, oznaczoną odrębnym symbolem, dla której określono ustalenia szczegółowe;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linii rozgraniczającej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– należy przez to rozumieć granicę pomiędzy terenami o różnym przeznaczeniu lub różnych zasadach zagospodarowania;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nieprzekraczalnej linii zabudowy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- należy przez to rozumieć wyznaczone na rysunku planu linie, określające najmniejszą dopuszczalną odległość zewnętrznego lica budynku od linii rozgraniczającej drogi lub innego terenu bądź obiektu, z wykluczeniem balkonów, wykuszy wysuniętych poza obrys budynku oraz elementów wejść do budynku (schodów, podestów, ramp, pochylni dla niepełnosprawnych i zadaszeń) wystających nie więcej niż 1,3 m poza zewnętrzne lico budynku;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kolorze jaskrawym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- należy przez to rozumieć kolor o intensywnej barwie, mocny, ostry, wyrazisty, nasycony, zdecydowanie wyróżniający się w porównaniu z kolorystyką obiektów w sąsiedztwie;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8)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dachu płaskim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– należy przez to rozumieć dach o nachyleniu połaci do 8 stopni;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9)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budynku wolnostojącym –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należy przez to rozumieć budynek usytuowany na działce budowlanej w odległości minimum 3 m od granic tej działki i niepołączony funkcjonalnie z innymi budynkami, z uwzględnienie wyznaczonych na rysunku planu linii zabudowy;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10)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badaniach archeologicznych w formie nadzorów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– należy przez to rozumieć rodzaj badań archeologicznych polegających na obserwacji i analizie nawarstwień mających na celu odkrycie i rozpoznanie zabytku archeologicznego w wykopach budowlanych podczas realizacji robót ziemnych lub przy dokonywaniu zmiany charakteru dotychczasowej działalności wiążącej się z naruszeniem struktury gruntu; wydanie pozwolenia na przeprowadzenie nadzoru archeologicznego regulują przepisy odrębne z zakresu ochrony zabytków i opieki nad zabytkami.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Pozostałe określenia użyte w ustaleniach planu należy rozumieć zgodnie z definicjami zawartymi w obowiązujących przepisach odrębnych.</w:t>
      </w:r>
    </w:p>
    <w:p>
      <w:pPr>
        <w:pStyle w:val="Normal"/>
        <w:keepNext w:val="true"/>
        <w:keepLines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caps w:val="false"/>
          <w:smallCaps w:val="false"/>
          <w:sz w:val="22"/>
        </w:rPr>
        <w:t>Rozdział 2.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br/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Ustalenia ogólne dla całego obszaru planu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3.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Ustalenia planu określone są w treści niniejszej uchwały oraz na rysunku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planie nie 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ochrony krajobrazów kulturowych oraz dóbr kultury współczesnej;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wymagań wynikających z potrzeb kształtowania przestrzeni publicznych;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 i sposobów zagospodarowania terenów górniczych, a także obszarów szczególnego zagrożenia powodziowego, obszarów osuwania się mas ziemnych oraz krajobrazów priorytetowych określonych w audycie krajobrazowym i planie zagospodarowania przestrzennego województwa;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sposobów i terminów tymczasowego zagospodarowania, urządzania i użytkowania terenów.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4.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Następujące oznaczenia, przedstawione na rysunku planu, są ustaleniami obowiązującymi: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granica miejscowego planu zagospodarowania przestrzennego;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linie rozgraniczające tereny o różnym przeznaczeniu lub różnych zasadach zagospodarowania;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nieprzekraczalne linie zabudowy;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granice stref ochrony archeologicznej stanowisk archeologicznych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granice stref ochronnych napowietrznych linii elektroenergetycznych średniego napięcia;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granice stref ochrony sanitarnej od cmentarza;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przeznaczenie terenu;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8)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obiekty i tereny podlegające ochronie na podstawie przepisów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Pozostałe oznaczenia graficzne na rysunku planu, nie wymienione w ust. 1, mają charakter informacyjny.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5. </w:t>
      </w:r>
      <w:r>
        <w:rPr>
          <w:rFonts w:eastAsia="Times New Roman" w:cs="Times New Roman"/>
          <w:b w:val="false"/>
          <w:i w:val="false"/>
          <w:caps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T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ereny wyodrębnione na rysunku planu liniami rozgraniczającymi oznaczono symbolami literowo-cyfrowymi, w których części literowe określają ich przeznaczenie podstawowe, zaś części cyfrowe oznaczają kolejne numery terenów w ramach danego przeznaczenia.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6.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Zasady zabudowy i zagospodarowania terenu, niezbędne do wykonania projektu budowlanego, należy określać według ustaleń ogólnych dla całego obszaru planu oraz według ustaleń szczegółowych dla terenów, w zakresie obsługi komunikacyjnej oraz w zakresie wyposażenia w infrastrukturę techniczną.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7.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obszarze objętym uchwałą wyodrębnia się liniami rozgraniczającymi tereny oznaczone następującymi symbolami: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od 1RZM do 3RZM –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tereny zabudowy zagrodowej;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od 1MNW do 3MNW oraz 6MNW i 7MNW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– tereny zabudowy mieszkaniowej jednorodzinnej wolnostojącej;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1RN 1 2RN –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tereny rolnictwa z zakazem zabudowy.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Tereny, o których mowa w ustępie 1 przedstawione są w części graficznej na poszczególnych rysunkach planu w następujący sposób: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nr 1A zawiera teren 1MNW i 1RZM;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nr 1B zawiera tereny: 2MNW i 1RN;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nr 1C zawiera tereny: 3MNW i 2RN;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nr 1E zawiera teren: 6MNW;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nr 1F zawiera teren: 7MNW, 2RZM i 3RZM.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8.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i kształtowania ładu przestrzennego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nakazuje się lokalizację zabudowy zgodnie z wyznaczonymi na rysunku planu nieprzekraczalnymi liniami zabudowy oraz przepisami odrębnymi, z dopuszczeniem realizacji obiektów i urządzeń infrastruktury technicznej, w tym telekomunikacyjnych, pomiędzy liniami zabudowy a liniami rozgraniczającymi terenów dróg;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zachowanie istniejących w dniu wejścia w życie planu budynków, leżących pomiędzy liniami zabudowy a liniami rozgraniczającymi, polegające na możliwości ich remontu, odbudowy i przebudowy, zaś ich rozbudowa lub nadbudowa będzie możliwa wyłącznie z zachowaniem ustaleń planu, w tym nieprzekraczalnych linii zabudowy;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 realizację na działkach budowlanych, budynków jako wolnostojących, z wyjątkami określonymi w przepisach szczegółowych dla terenów;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wszystkie budynki w obrębie działki budowlanej muszą, pod względem formy i wykończenia, tworzyć jednorodną całość architektoniczną, w tym zachowywać jednolitą kolorystykę;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zakresie kolorystyki obiektów: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zakazuje się stosowania jaskrawych kolorów elewacji i pokryć dachowych budynków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nakazuje się stosowanie kolorystyki dla elewacji budynków jaśniejszej, niż dla ich pokryć dachowych,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kolorystykę połaci dachowych w odcieniach: czerwieni (w kolorze zbliżonym do naturalnej barwy dachówki ceramicznej), brązu, grafitu i szarości,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zakazuje się stosowania pokryć dachowych o fakturach powodujących odbłyski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e)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wykończeniu elewacji budynków, dopuszcza się stosowanie barw w odcieniach pastelowych, a także szarości i koloru białego, dopuszcza się wykorzystanie – jako elementów kształtowania lub akcentowania elewacji, wykończeń w naturalnych kolorach tradycyjnych materiałów budowlanych (cegła, kamień, drewno, beton),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f)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zakazuje się stosowania w elewacjach budynków okładzin ceramicznych szkliwionych i okładzin z tworzyw sztucznych (typu siding);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określenie geometrii, formy i parametrów dachów zawierają ustalenia szczegółowe dla terenów;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minimalne powierzchnie nowo wydzielonych działek budowlanych, nie mogą być mniejsza niż zawarte w ustaleniach dla terenów, przy czym ograniczenia powierzchni nie dotyczą przypadków wydzielania działek: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obiektów i urządzeń infrastruktury technicznej, gdzie podziału należy dokonać uwzględniając zapotrzebowanie terenowe na te urządzenia, zgodnie z przepisami odrębnymi,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 powiększenie sąsiedniej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celu regulowania stanów prawnych nieruchomości,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wzdłuż wyznaczonych na rysunku planu linii rozgraniczających,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e)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wydzielenia wewnętrznych ciągów komunikacyjnych, dla których ustala się minimalną szerokość 8 metrów.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9.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środowiska, przyrody i krajobrazu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zakazuje się lokalizacji przedsięwzięć mogących zawsze znacząco, bądź potencjalnie znacząco oddziaływać na środowisko, określonych na podstawie przepisów odrębnych z zakresu ochrony środowiska, z wyjątkiem inwestycji celu publicznego;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zakazuje się wprowadzania nieoczyszczonych ścieków do wód powierzchniowych, rowów melioracyjnych, ziemi oraz tworzenia i utrzymywania otwartych kanałów i zbiorników z tymi ściekami;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nakazuje się zagospodarowanie powierzchni działki budowlanej w sposób zabezpieczający sąsiednie nieruchomości oraz drogi przed spływem wód opadowych i roztopowych;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 obowiązek zachowania minimalnych udziałów procentowych powierzchni biologicznie czynnej, określonych w ustaleniach szczegółowych dla terenów;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 ogrzewania pomieszczeń i wytwarzania ciepłej wody użytkowej nakazuje się stosowanie paliw oraz technologii zapewniających zachowanie standardów emisyjnych określonych w przepisach odrębnych z zakresu ochrony środowiska, dopuszcza się stosowanie do tych celów oraz do produkcji energii na własne potrzeby odnawialnych źródeł energii o mocy do 100 kW, zgodnie z przepisami odrębnymi z zakresu energetyki oraz ochrony środowiska, z wykluczeniem turbin wiatrowych niespełniających warunków mikroinstalacji.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10.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zasad ochrony dziedzictwa kulturowego i zabytków: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terenie 2RN ustala się przebieg granicy strefy ochrony archeologicznej stanowiska archeologicznego, AZP 79-42/38, w granicach której, w przypadku realizacji inwestycji związanych z koniecznością wykonania robót ziemnych, nakazuje się przeprowadzenie badań archeologicznych w formie nadzoru na zasadach określonych w przepisach odrębnych z zakresu ochrony zabytków i opieki nad zabytkami.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11. 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Zasady kształtowania zabudowy i wskaźników zagospodarowania terenu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regulują ustalenia szczegółowe dla terenów.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zagospodarowania terenów lub obiektów podlegających ochronie na podstawie przepisów odrębnych: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wskazuje się, że wszystkie części obszaru planu, leżą w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granicach udokumentowanego Głównego Zbiornika Wód Podziemnych Nr 325 – Częstochowa (W), gdzie obowiązują zasady zagospodarowania zgodne z przepisami odrębnymi;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wskazuje się, ze w tereny 1MNW 7MNW i 2RZM – w całości, zaś 1RZM, 2MNW, 1RN, 6MNW i 3RZM – w części, zgodnie z rysunkiem planu, leżą w granicach gruntów zmeliorowanych, gdzie: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 obowiązek zachowania urządzeń melioracyjnych, a w przypadku kolizji – ich przebudowy lub likwidacji na zasadach określonych w przepisach odrębnych z zakresu prawa wodnego;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przypadku przebudowy lub likwidacji urządzeń melioracyjnych ustala się obowiązek zapewnienia odbioru wód z terenów zmeliorowanych położonych wyżej, zgodnie z przepisami odrębnymi;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wskazuje się, że w terenie 6MNW przebiega rów melioracyjny, którego likwidacji się zakazuje.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scalania i podziałów nieruchomości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 następujące szczegółowe zasady i warunki: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przepisy tego paragrafu nie dotyczą terenów, które w dniu uchwalenia planu składają się z pojedynczej działki ewidencyjnej;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nowo wydzielane działki budowlane muszą mieć zapewniony dostęp do drogi publicznej w rozumieniu przepisów odrębnych z zakresu gospodarki nieruchomościami;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granice nowo wydzielanych działek budowlanych muszą być prostopadłe lub równoległe w stosunku do pasa drogowego przyległych dróg publicznych lub wewnętrznych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,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z tolerancją 20o;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powierzchnie nowo wydzielonych działek budowlanych, nie mogą być mniejsze niż 1000 m2,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szerokość frontu nowo wydzielonej działki budowlanej nie może być mniejsza niż 20 m;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ograniczenia dotyczące nachylenia granic działek w stosunku do terenów dróg, ich powierzchni oraz szerokości frontu, nie dotyczą działek wydzielanych: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obiektów i urządzeń infrastruktury technicznej, gdzie podziału należy dokonać uwzględniając zapotrzebowanie terenowe na te urządzenia, zgodnie z przepisami odrębnymi,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 powiększenie sąsiedniej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celu regulowania stanów prawnych nieruchomości,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celu wydzielenia wewnętrznych ciągów komunikacyjnych, dla których ustala się minimalną szerokość 8 m.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14.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szczególnych warunków zagospodarowania terenów oraz ograniczeń w ich użytkowaniu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wskazuje się, że w przypadku lokalizacji w granicach terenu obiektów budowlanych z zakresu infrastruktury technicznej mogących stanowić przeszkodę lotniczą – należy dokonać odpowiednich uzgodnień i zgłoszeń, zgodnie z przepisami odrębnymi z zakresu prawa lotniczego;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wyznacza się, zgodnie z rysunkiem planu, wzdłuż przebiegów napowietrznych linii elektroenergetycznych średniego napięcia strefy ochronne o szerokościach po 7,5 m w obie strony od osi linii, w których zakazuje się lokalizacji zabudowy przeznaczonej na pobyt ludzi, a także tworzenia hałd i nasypów oraz wprowadzania nasadzeń o wysokości przekraczającej 3 m, przy czym w przypadku likwidacji napowietrznej linii lub jej skablowania ograniczenia te przestają obowiązywać;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wyznacza się, zgodnie z przebiegiem pokazanym na rysunku planu, strefy ochrony sanitarnej 150 metrów oraz 50 metrów od cmentarzy czynnych w Mokrsku i Krzyworzece, leżących poza obszarem planu, w których obowiązują ograniczenia w zagospodarowaniu wynikające z przepisów odrębnych, w tym z zakresu określenia jakie tereny pod względem sanitarnym są odpowiednie na cmentarze.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15.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Ustala się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obsługę komunikacyjną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obszaru planu ze stanowiącej zewnętrzny układ komunikacyjny, istniejącej sieci dróg publicznych.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obsługę komunikacyjną działek budowlanych z niewydzielonych w planie, wewnętrznych ciągów komunikacyjnych o szerokości minimalnej 8 m, w tym z dojazdów do pól – powiązanych z drogami publicznymi.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16.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obszarze planu, dopuszcza się zachowanie istniejących sieci, urządzeń i obiektów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infrastruktury technicznej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, a także ich remont, modernizację, przebudowę i rozbudowę, na zasadach określonych w przepisach odrębnych, przy czym w granicach terenów rolnictwa z zakazem zabudowy, w których występują gleby chronione III klasy dopuszcza się jedynie remont lub przebudowę po istniejącej trasie z wymianą słupów w tej samej lokalizacji lub realizację sieci podziemnych;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zasad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zaopatrzenia w wodę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wodociąg gminny jako główne źródło wody przeznaczonej do spożycia przez ludzi;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realizację zaparzenia w wodę wodociągową w oparciu o istniejącą sieć oraz projektowaną jej rozbudowę – stosownie do potrzeb lokalnych, zgodnie z przepisami odrębnymi, w tym z zakresu ochrony przeciwpożarowej;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celu uzupełnienia zapotrzebowania na wodę dopuszcza się wykorzystywanie źródeł lokalnych, jako źródeł uzupełniających – zgodnie z przepisami odrębnymi, w tym z zakresu prawa wodnego oraz określenia jakie tereny pod względem sanitarnym są odpowiednie na cmentarze.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gospodarki ściekowej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docelowo odprowadzanie ścieków do sieci kanalizacji sanitarnej, na zasadach określonych w przepisach odrębnych;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odprowadzanie ścieków do atestowanych, szczelnych zbiorników bezodpływowych lub inne indywidualne rozwiązania, spełniające wymagania zawarte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gospodarowania wodami opadowymi i roztopowymi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 obowiązek ich zagospodarowania w obrębie działki budowlanej poprzez infiltrację do ziemi, bądź w stawach chłonnych, z dopuszczeniem odprowadzania nadmiaru do rowów melioracyjnych, zgodne z przepisami odrębnymi z zakresu ochrony środowiska i prawa wodnego.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zaopatrzenia w energię elektryczną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 zaopatrzenie w energię elektryczną z istniejącej napowietrznej i kablowej sieci niskiego i średniego napięcia;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ustala się rozbudowę sieci średniego i niskiego napięcia w formie kablowej, w formie napowietrznej dopuszcza się jej rozbudowę wyłącznie w terenach dróg – na zasadach określonych w przepisach odrębnych;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lokalizowanie stacji transformatorowych SN/nn poza liniami rozgraniczającymi dróg na wydzielonych działkach budowlanych;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poprawy bilansu zaopatrzenia w energię elektryczną dopuszcza się pozyskiwanie jej ze źródeł odnawialnych o mocy do 100 kW z wykluczeniem turbin wiatrowych niespełniających warunków mikroinstalacji – na zasadach określonych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zaopatrzenia w gaz ziemny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zaopatrzenie w gaz do celów gospodarczych i grzewczych z projektowanych gazociągów średniego ciśnienia układanych w liniach rozgraniczających dróg – zgodnie z przepisami odrębnymi;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zaopatrzenie w gaz do celów gospodarczych i grzewczych z butli lub zbiorników lokalizowanych w granicach działki budowlanej – na zasadach określonych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zaopatrzenia w ciepło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do celów grzewczych i ciepłej wody użytkowej ustala się stosowanie indywidualnych źródeł ciepła z zastosowaniem technologii i paliw zapewniających zachowanie standardów emisyjnych określonych w przepisach odrębnych, dopuszcza się pozyskiwanie energii oraz ciepłej wody użytkowej z odnawialnych źródeł energii o mocy do 100 kW z wykluczeniem turbin wiatrowych niespełniających warunków mikroinstalacji – na zasadach określonych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8. 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zaopatrzenia w sygnał telekomunikacyjny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 bezpośrednią obsługę abonentów telefonicznych za pośrednictwem indywidualnych przyłączy, z zapewnieniem łączności alarmowej dla ochrony mieszkańców w sytuacjach szczególnych.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9. 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gospodarki odpadami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nakazuje się wstępne magazynowanie odpadów na działce budowlanej w urządzeniach przystosowanych do tego celu oraz odbiór i usuwanie zgodnie z przepisami odrębnymi z zakresu gospodarki odpadami.</w:t>
      </w:r>
    </w:p>
    <w:p>
      <w:pPr>
        <w:pStyle w:val="Normal"/>
        <w:keepNext w:val="true"/>
        <w:keepLines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caps w:val="false"/>
          <w:smallCaps w:val="false"/>
          <w:sz w:val="22"/>
        </w:rPr>
        <w:t>Rozdział 3.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br/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3. Ustalenia szczegółowe dla terenów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17.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Dla terenów oznaczonych na rysunku planu symbolami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od 1RZM do 3RZM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, ustala się przeznaczenie dla zabudowy zagrodowej, w ramach którego dopuszcza się: usługi związane z obsługą produkcji rolniczej oraz przetwórstwu rolno-spożywczym, wiaty, wewnętrzne ciągi komunikacyjne, w tym dojazdy do pól, miejsca do parkowania.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i kształtowania ładu przestrzennego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 oraz: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realizację budynków mieszkalnych w zabudowie zagrodowej z wbudowanymi lub dobudowanymi garażami, budynkami gospodarczymi oraz inwentarskimi, a także budynków niemieszkalnych o funkcjach łączonych;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zakresie geometrii dachów: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budynkach mieszkalnych w zabudowie zagrodowej, w tym z wbudowanymi lub dobudowanymi garażami, budynkami gospodarczymi oraz inwentarskimi ustala się stosowanie dachów dwuspadowych lub wielospadowych o równym kącie nachylenia odpowiadających sobie połaci w zakresie 20°- 45°, z możliwością realizacji facjat, ryzalitów lub lukarn o innym kącie spadku połaci dachowych,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budynkach gospodarczych, inwentarskich, garażach oraz budynkach niemieszkalnych o funkcjach łączonych, ustala się stosowanie dachów dwuspadowych lub wielospadowych o równym kącie nachylenia odpowiadających sobie połaci w zakresie 15° - 45°,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stosowanie we wszystkich budynkach oraz wiatach dachów płaskich;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minimalna powierzchnia nowo wydzielonej działki budowlanej, nie może być mniejsza niż 1500 m2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środowiska, przyrody i krajobrazu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planu, oraz przyjmuje się klasyfikację terenów w zakresie dopuszczalnych poziomów hałasu w środowisku jak dla terenów przeznaczonych pod zabudowę zagrodową i zakazuje się przekroczenia dopuszczalnych poziomów hałasu, określonych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ochrony dziedzictwa kulturowego i zabytków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kształtowania zabudowy i wskaźników zagospodarowania terenu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parametry i wskaźniki kształtowania zabudowy: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wysokość budynków mieszkalnych w zabudowie zagrodowej, w tym z wbudowanymi lub dobudowanymi garażami – 10 m,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wysokość pozostałych budynków – 12 m,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wysokość garaży i wiat – 8 m,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maksymalna wysokość obiektów budowlanych z zakresu infrastruktury technicznej – 12 m, przy czym ograniczenie to nie dotyczy obiektów z zakresu łączności publicznej;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wskaźniki zagospodarowania terenu: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minimalny udział procentowy powierzchni biologicznie czynnej na 30% powierzchni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powierzchnię zabudowy na nie więcej niż 40% powierzchni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intensywności zabudowy jako wskaźnik powierzchni całkowitej zabudowy w odniesieniu do powierzchni działki budowlanej nie mniej niż 0,01 i nie więcej niż 0,8,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obsługi budynków mieszkalnych w zabudowie zagrodowej nakazuje się realizację miejsc do parkowania dla samochodów osobowych, w granicach działek budowlanych, w liczbie minimum 2 miejsca na każdy lokal mieszkalny, w tym w formie garażowej,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e)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obsługi prowadzonej działalności usługowej nakazuje się realizację minimum 1 miejsca do parkowania na każde rozpoczęte 50 m2 powierzchni użytkowej lokalu usługowego w tym minimum 1 miejsce przeznaczone na parkowanie pojazdów zaopatrzonych w kartę parkingową na każdy lokal usługowy.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zasad zagospodarowania terenów lub obiektów podlegających ochronie na podstawie przepisów odrębnych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scalania i podziałów nieruchomości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8. 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szczególnych warunków zagospodarowania terenów oraz ograniczeń w ich użytkowaniu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9. 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obsługi komunikacyjnej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10. 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modernizacji, rozbudowy i budowy systemów infrastruktury technicznej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18.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Dla terenów oznaczonych na rysunku planu symbolami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od 1MNW do 3MNW oraz 6MNW i 7MNW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, ustala się przeznaczenie dla zabudowy mieszkaniowej jednorodzinnej wolnostojącej, w ramach którego mogą być realizowane również: usługi w lokalach użytkowych budynków mieszkaniowych jednorodzinnych, o powierzchni wynikającej z przepisów odrębnych, wiaty, wewnętrzne ciągi komunikacyjne, w tym dojazdy do pól, miejsca do parkowania oraz miejsca wstępnego magazynowania odpadów.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i kształtowania ładu przestrzennego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 oraz: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realizację budynków mieszkalnych jednorodzinnych z wbudowanymi lub dobudowanymi garażami oraz budynków garażowo-gospodarczych;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terenu 3MNW dopuszcza się realizację zabudowy bezpośrednio przy granicy działki budowlanej,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zakresie geometrii dachów: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budynkach mieszkalnych ustala się stosowanie dachów dwuspadowych lub wielospadowych o równym kącie nachylenia odpowiadających sobie połaci w zakresie 20°- 45°, z możliwością realizacji facjat, ryzalitów lub lukarn o innym kącie spadku połaci dachowych,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 budynkach gospodarczych i garażach ustala się stosowanie dachów dwuspadowych lub wielospadowych o równym kącie nachylenia odpowiadających sobie połaci w zakresie 15° - 45°,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dopuszcza się stosowanie we wszystkich budynkach dachów płaskich, zaś w terenie 3MNW, w przypadku zabudowy bezpośrednio przy granicy działki – również jednospadowych o nachyleniu połaci do 45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u w:val="none" w:color="000000"/>
          <w:vertAlign w:val="superscript"/>
        </w:rPr>
        <w:t>o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nie ustala się geometrii dachów wiat i altan;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minimalna powierzchnia nowo wydzielonej działki budowlanej, nie może być mniejsza niż: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1000 m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u w:val="none" w:color="000000"/>
          <w:vertAlign w:val="superscript"/>
        </w:rPr>
        <w:t>2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dla terenów 1MNW i 7MNW,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1200 m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u w:val="none" w:color="000000"/>
          <w:vertAlign w:val="superscript"/>
        </w:rPr>
        <w:t>2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dla terenów 3MNW i 6MNW,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1500 m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u w:val="none" w:color="000000"/>
          <w:vertAlign w:val="superscript"/>
        </w:rPr>
        <w:t>2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dla ternu 2MNW.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środowiska, przyrody i krajobrazu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planu, oraz: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przyjmuje się klasyfikację terenów w zakresie dopuszczalnych poziomów hałasu w środowisku jak dla terenów przeznaczonych pod zabudowę mieszkaniową jednorodzinną i zakazuje się przekroczenia dopuszczalnych poziomów hałasu, określonych w przepisach odrębnych.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ochrony dziedzictwa kulturowego i zabytków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kształtowania zabudowy i wskaźników zagospodarowania terenu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parametry i wskaźniki kształtowania zabudowy: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wysokość budynków mieszkalnych – 10 m,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wysokość budynków gospodarczych, garaży oraz wiat – 8 m,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maksymalna wysokość obiektów budowlanych z zakresu infrastruktury technicznej – 12 m, przy czym ograniczenie to nie dotyczy obiektów z zakresu łączności publicznej;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wskaźniki zagospodarowania terenu: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a)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minimalny udział procentowy powierzchni biologicznie czynnej na 40% powierzchni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b)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maksymalną powierzchnię zabudowy na nie więcej niż 40% powierzchni działki budowlanej,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c)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intensywności zabudowy jako wskaźnik powierzchni całkowitej zabudowy w odniesieniu do powierzchni działki budowlanej nie mniej niż 0,01 i nie więcej niż 0,8,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d)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obsługi zabudowy mieszkaniowej jednorodzinnej nakazuje się realizację miejsc do parkowania dla samochodów osobowych, w granicach działek budowlanych, w liczbie minimum 2 miejsca na każdy lokal mieszkalny, w tym w formie garażowej,</w:t>
      </w:r>
    </w:p>
    <w:p>
      <w:pPr>
        <w:pStyle w:val="Normal"/>
        <w:keepNext w:val="false"/>
        <w:keepLines/>
        <w:spacing w:lineRule="auto" w:line="240" w:before="120" w:after="120"/>
        <w:ind w:hanging="227" w:left="567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e)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dla obsługi prowadzonej działalności usługowej nakazuje się realizację minimum 1 miejsca do parkowania na każde rozpoczęte 50 m2 powierzchni użytkowej lokalu usługowego w tym minimum 1 miejsce przeznaczone na parkowanie pojazdów zaopatrzonych w kartę parkingową na każdy lokal usługowy.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6. 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zasad zagospodarowania terenów lub obiektów podlegających ochronie na podstawie przepisów odrębnych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7. 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scalania i podziałów nieruchomości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8. 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szczególnych warunków zagospodarowania terenów oraz ograniczeń w ich użytkowaniu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9. 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obsługi komunikacyjnej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10. 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zasad modernizacji, rozbudowy i budowy systemów infrastruktury technicznej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19. </w:t>
      </w:r>
      <w:r>
        <w:rPr>
          <w:rFonts w:eastAsia="Times New Roman" w:cs="Times New Roman"/>
          <w:sz w:val="22"/>
        </w:rPr>
        <w:t>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Dla terenów oznaczonych na rysunku planu symbolami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1RN i 2RN,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ustala się przeznaczenie dla rolnictwa z zakazem zabudowy.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zasad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ochrony środowiska, przyrody i krajobrazu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ochrony dziedzictwa kulturowego i zabytków 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4. 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granic i sposobów zagospodarowania terenów lub obiektów podlegających ochronie na podstawie przepisów odrębnych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obowiązują ustalenia ogólne dla całego obszaru planu.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5. 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W zakresie </w:t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szczególnych warunków zagospodarowania terenów oraz ograniczeń w ich użytkowaniu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 xml:space="preserve">  obowiązują ustalenia ogólne dla całego obszaru planu.</w:t>
      </w:r>
    </w:p>
    <w:p>
      <w:pPr>
        <w:pStyle w:val="Normal"/>
        <w:keepNext w:val="true"/>
        <w:keepLines/>
        <w:spacing w:lineRule="auto" w:line="240" w:before="0" w:after="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caps w:val="false"/>
          <w:smallCaps w:val="false"/>
          <w:sz w:val="22"/>
        </w:rPr>
        <w:t>Rozdział 4.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br/>
      </w: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Ustalenia końcowe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20.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Wartość stawki procentowej służącej naliczaniu opłaty związanej ze wzrostem wartości nieruchomości powstałej na skutek uchwalenia niniejszego planu, ustala się w wysokości 5%.</w:t>
      </w:r>
    </w:p>
    <w:p>
      <w:pPr>
        <w:pStyle w:val="Normal"/>
        <w:keepNext w:val="fals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21.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Wykonanie niniejszej uchwały powierza się Wójtowi Gminy Mokrsko.</w:t>
      </w:r>
    </w:p>
    <w:p>
      <w:pPr>
        <w:pStyle w:val="Normal"/>
        <w:keepNext w:val="tru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sz w:val="22"/>
        </w:rPr>
        <w:t>§ 22.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Uchwała wchodzi w życie po upływie 14 dni od dnia ogłoszenia w Dzienniku Urzędowym Województwa Łódzkiego.</w:t>
      </w:r>
    </w:p>
    <w:p>
      <w:pPr>
        <w:pStyle w:val="Normal"/>
        <w:keepNext w:val="true"/>
        <w:keepLines/>
        <w:spacing w:lineRule="auto" w:line="240" w:before="120" w:after="120"/>
        <w:ind w:firstLine="340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</w:p>
    <w:p>
      <w:pPr>
        <w:pStyle w:val="Normal"/>
        <w:keepNext w:val="true"/>
        <w:spacing w:before="0" w:after="0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b w:val="false"/>
          <w:i w:val="false"/>
          <w:color w:val="000000"/>
          <w:position w:val="0"/>
          <w:sz w:val="22"/>
          <w:u w:val="none"/>
          <w:vertAlign w:val="baseline"/>
        </w:rPr>
        <w:t> 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932"/>
        <w:gridCol w:w="4933"/>
      </w:tblGrid>
      <w:tr>
        <w:trPr/>
        <w:tc>
          <w:tcPr>
            <w:tcW w:w="4932" w:type="dxa"/>
            <w:tcBorders/>
          </w:tcPr>
          <w:p>
            <w:pPr>
              <w:pStyle w:val="Normal"/>
              <w:keepNext w:val="true"/>
              <w:keepLines/>
              <w:jc w:val="left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color w:val="000000"/>
                <w:sz w:val="22"/>
                <w:szCs w:val="22"/>
              </w:rPr>
            </w:pPr>
            <w:r>
              <w:rPr>
                <w:rFonts w:eastAsia="Times New Roman" w:cs="Times New Roman"/>
                <w:b w:val="false"/>
                <w:bCs w:val="false"/>
                <w:i w:val="false"/>
                <w:iCs w:val="false"/>
                <w:caps w:val="false"/>
                <w:smallCaps w:val="false"/>
                <w:color w:val="000000"/>
                <w:sz w:val="22"/>
                <w:szCs w:val="22"/>
              </w:rPr>
            </w:r>
          </w:p>
        </w:tc>
        <w:tc>
          <w:tcPr>
            <w:tcW w:w="4933" w:type="dxa"/>
            <w:tcBorders/>
          </w:tcPr>
          <w:p>
            <w:pPr>
              <w:pStyle w:val="Normal"/>
              <w:keepNext w:val="true"/>
              <w:keepLines/>
              <w:spacing w:before="560" w:after="560"/>
              <w:ind w:hanging="0" w:left="1134" w:right="1134"/>
              <w:jc w:val="center"/>
              <w:rPr>
                <w:rFonts w:ascii="Times New Roman" w:hAnsi="Times New Roman" w:eastAsia="Times New Roman" w:cs="Times New Roman"/>
                <w:b w:val="false"/>
                <w:bCs w:val="false"/>
                <w:i w:val="false"/>
                <w:i w:val="false"/>
                <w:iCs w:val="false"/>
                <w:caps w:val="false"/>
                <w:smallCaps w:val="false"/>
                <w:color w:val="000000"/>
                <w:sz w:val="22"/>
                <w:szCs w:val="22"/>
              </w:rPr>
            </w:pPr>
            <w:r>
              <w:rPr>
                <w:rFonts w:eastAsia="Times New Roman" w:cs="Times New Roman"/>
                <w:b w:val="false"/>
                <w:bCs w:val="false"/>
                <w:i w:val="false"/>
                <w:iCs w:val="false"/>
                <w:caps w:val="false"/>
                <w:smallCaps w:val="false"/>
                <w:color w:val="000000"/>
                <w:sz w:val="22"/>
                <w:szCs w:val="22"/>
              </w:rPr>
              <w:t>Przewodniczący Rady Gminy</w:t>
              <w:br/>
              <w:br/>
              <w:br/>
            </w:r>
            <w:r>
              <w:rPr>
                <w:b/>
                <w:i w:val="false"/>
              </w:rPr>
              <w:t>Tadeusz Papina</w:t>
            </w:r>
          </w:p>
        </w:tc>
      </w:tr>
    </w:tbl>
    <w:p>
      <w:pPr>
        <w:sectPr>
          <w:footerReference w:type="even" r:id="rId2"/>
          <w:footerReference w:type="default" r:id="rId3"/>
          <w:footerReference w:type="first" r:id="rId4"/>
          <w:type w:val="nextPage"/>
          <w:pgSz w:w="11906" w:h="16838"/>
          <w:pgMar w:left="1020" w:right="1020" w:gutter="0" w:header="0" w:top="1417" w:footer="708" w:bottom="992"/>
          <w:pgNumType w:fmt="decimal"/>
          <w:formProt w:val="false"/>
          <w:textDirection w:val="lrTb"/>
          <w:docGrid w:type="default" w:linePitch="360" w:charSpace="0"/>
        </w:sectPr>
      </w:pPr>
    </w:p>
    <w:p>
      <w:pPr>
        <w:pStyle w:val="Normal"/>
        <w:keepNext w:val="true"/>
        <w:spacing w:lineRule="auto" w:line="360" w:before="120" w:after="120"/>
        <w:ind w:hanging="0" w:left="507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1A do uchwały Nr ....................</w:t>
        <w:br/>
        <w:t>Rady Gminy Mokrsko</w:t>
        <w:br/>
        <w:t>z dnia 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Rysunek planu obejmujący część obrębu Mokrsko</w:t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07915" cy="4907915"/>
            <wp:effectExtent l="0" t="0" r="0" b="0"/>
            <wp:docPr id="1" name="Obraz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490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" name="Obraz2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3" name="Obraz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4" name="Obraz4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5" name="Obraz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6" name="Obraz6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7" name="Obraz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ectPr>
          <w:footerReference w:type="even" r:id="rId13"/>
          <w:footerReference w:type="default" r:id="rId14"/>
          <w:footerReference w:type="first" r:id="rId15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9355" cy="3436620"/>
            <wp:effectExtent l="0" t="0" r="0" b="0"/>
            <wp:docPr id="8" name="Obraz8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343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true"/>
        <w:spacing w:lineRule="auto" w:line="360" w:before="120" w:after="120"/>
        <w:ind w:hanging="0" w:left="5082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1B do uchwały Nr ....................</w:t>
        <w:br/>
        <w:t>Rady Gminy Mokrsko</w:t>
        <w:br/>
        <w:t>z dnia 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Rysunek planu obejmujący część obrębu Mokrsko</w:t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171950" cy="5898515"/>
            <wp:effectExtent l="0" t="0" r="0" b="0"/>
            <wp:docPr id="9" name="Obraz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9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89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866005" cy="6751955"/>
            <wp:effectExtent l="0" t="0" r="0" b="0"/>
            <wp:docPr id="10" name="Obraz10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10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675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866005" cy="6751955"/>
            <wp:effectExtent l="0" t="0" r="0" b="0"/>
            <wp:docPr id="11" name="Obraz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1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675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866005" cy="6751955"/>
            <wp:effectExtent l="0" t="0" r="0" b="0"/>
            <wp:docPr id="12" name="Obraz12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12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675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ectPr>
          <w:footerReference w:type="even" r:id="rId21"/>
          <w:footerReference w:type="default" r:id="rId22"/>
          <w:footerReference w:type="first" r:id="rId23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866005" cy="6751955"/>
            <wp:effectExtent l="0" t="0" r="0" b="0"/>
            <wp:docPr id="13" name="Obraz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13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05" cy="675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true"/>
        <w:spacing w:lineRule="auto" w:line="360" w:before="120" w:after="120"/>
        <w:ind w:hanging="0" w:left="5082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1C do uchwały Nr ....................</w:t>
        <w:br/>
        <w:t>Rady Gminy Mokrsko</w:t>
        <w:br/>
        <w:t>z dnia 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Rysunek planu obejmujący część obrębu Mokrsko</w:t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07915" cy="4907915"/>
            <wp:effectExtent l="0" t="0" r="0" b="0"/>
            <wp:docPr id="14" name="Obraz14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14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490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15" name="Obraz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15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16" name="Obraz16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16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17" name="Obraz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17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18" name="Obraz18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18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19" name="Obraz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19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ectPr>
          <w:footerReference w:type="even" r:id="rId31"/>
          <w:footerReference w:type="default" r:id="rId32"/>
          <w:footerReference w:type="first" r:id="rId33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0" name="Obraz20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20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true"/>
        <w:spacing w:lineRule="auto" w:line="360" w:before="120" w:after="120"/>
        <w:ind w:hanging="0" w:left="5094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1E do uchwały Nr ....................</w:t>
        <w:br/>
        <w:t>Rady Gminy Mokrsko</w:t>
        <w:br/>
        <w:t>z dnia .......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Rysunek planu obejmujący część obrębu Krzyworzeka</w:t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07915" cy="4907915"/>
            <wp:effectExtent l="0" t="0" r="0" b="0"/>
            <wp:docPr id="21" name="Obraz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21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5" cy="490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2" name="Obraz22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22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3" name="Obraz2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23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4" name="Obraz24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24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5" name="Obraz2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25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6" name="Obraz26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26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ectPr>
          <w:footerReference w:type="even" r:id="rId41"/>
          <w:footerReference w:type="default" r:id="rId42"/>
          <w:footerReference w:type="first" r:id="rId43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84750" cy="7140575"/>
            <wp:effectExtent l="0" t="0" r="0" b="0"/>
            <wp:docPr id="27" name="Obraz2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27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714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true"/>
        <w:spacing w:lineRule="auto" w:line="360" w:before="120" w:after="120"/>
        <w:ind w:hanging="0" w:left="5106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1F do uchwały Nr ....................</w:t>
        <w:br/>
        <w:t>Rady Gminy Mokrsko</w:t>
        <w:br/>
        <w:t>z dnia 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Rysunek planu obejmujący część obrębu Krzyworzeka</w:t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06645" cy="4175760"/>
            <wp:effectExtent l="0" t="0" r="0" b="0"/>
            <wp:docPr id="28" name="Obraz28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28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417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29" name="Obraz2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29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30" name="Obraz30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30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31" name="Obraz3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31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32" name="Obraz32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32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33" name="Obraz3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33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ectPr>
          <w:footerReference w:type="even" r:id="rId51"/>
          <w:footerReference w:type="default" r:id="rId52"/>
          <w:footerReference w:type="first" r:id="rId53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firstLine="227" w:left="0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/>
        <w:drawing>
          <wp:inline distT="0" distB="0" distL="0" distR="0">
            <wp:extent cx="4990465" cy="5982335"/>
            <wp:effectExtent l="0" t="0" r="0" b="0"/>
            <wp:docPr id="34" name="Obraz34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34" descr="Obraz w treści dokumentu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598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keepNext w:val="true"/>
        <w:spacing w:lineRule="auto" w:line="360" w:before="120" w:after="120"/>
        <w:ind w:hanging="0" w:left="522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2 do uchwały Nr ....................</w:t>
        <w:br/>
        <w:t>Rady Gminy Mokrsko</w:t>
        <w:br/>
        <w:t>z dnia ...... marca 2025 r.</w:t>
      </w:r>
    </w:p>
    <w:p>
      <w:p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Rozstrzygnięcie o sposobie realizacji, zapisanych w planie, inwestycji z zakresu infrastruktury technicznej, które należą do zadań własnych gminy oraz zasad ich finansowania</w:t>
      </w:r>
    </w:p>
    <w:p>
      <w:pPr>
        <w:pStyle w:val="Normal"/>
        <w:keepNext w:val="false"/>
        <w:keepLines/>
        <w:spacing w:lineRule="auto" w:line="240" w:before="120" w:after="120"/>
        <w:ind w:firstLine="227" w:left="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Na podstawie art. 20 ust. 1 ustawy z dnia 27 marca 2003 r. o planowaniu i zagospodarowaniu przestrzennym (Dz. U. z 2024 r. poz. 1130) Rada Gminy Mokrsko stwierdza, że: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1)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po wejściu w życie miejscowego planu zagospodarowania przestrzennego gminy Mokrsko - etap I, nie przewiduje się realizacji inwestycji z zakresu infrastruktury technicznej należących do zadań własnych gminy, związanych z uchwaleniem tego planu;</w:t>
      </w:r>
    </w:p>
    <w:p>
      <w:p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2)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nie wyklucza się rozbudowy i przebudowy istniejących sieci i obiektów infrastruktury technicznej należących do zadań własnych gminy, a także budowy nowych;</w:t>
      </w:r>
    </w:p>
    <w:p>
      <w:pPr>
        <w:sectPr>
          <w:footerReference w:type="even" r:id="rId54"/>
          <w:footerReference w:type="default" r:id="rId55"/>
          <w:footerReference w:type="first" r:id="rId56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false"/>
        <w:keepLines w:val="false"/>
        <w:spacing w:lineRule="auto" w:line="240" w:before="120" w:after="120"/>
        <w:ind w:hanging="227" w:left="340" w:right="0"/>
        <w:jc w:val="both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sz w:val="22"/>
        </w:rPr>
        <w:t>3) </w:t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zadania wymienione w punkcie 2 finansowane będą na podstawie aktualnie obowiązujących przepisów, ze środków własnych Gminy Mokrsko lub na podstawie porozumień z innymi podmiotami, w oparciu o ustalone przez Radę Gminy Mokrsko wieloletnie plany rozwoju i modernizacji gminnej infrastruktury technicznej.</w:t>
      </w:r>
    </w:p>
    <w:p>
      <w:pPr>
        <w:pStyle w:val="Normal"/>
        <w:keepNext w:val="true"/>
        <w:spacing w:lineRule="auto" w:line="360" w:before="120" w:after="120"/>
        <w:ind w:hanging="0" w:left="5229" w:right="0"/>
        <w:jc w:val="left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fldChar w:fldCharType="begin"/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separate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r>
      <w:r>
        <w:rPr>
          <w:smallCaps w:val="false"/>
          <w:caps w:val="false"/>
          <w:dstrike w:val="false"/>
          <w:strike w:val="false"/>
          <w:vertAlign w:val="baseline"/>
          <w:position w:val="0"/>
          <w:sz w:val="22"/>
          <w:sz w:val="22"/>
          <w:i w:val="false"/>
          <w:u w:val="none" w:color="000000"/>
          <w:b w:val="false"/>
          <w:rFonts w:eastAsia="Times New Roman" w:cs="Times New Roman"/>
          <w:color w:val="000000"/>
        </w:rPr>
        <w:fldChar w:fldCharType="end"/>
      </w:r>
      <w:r>
        <w:rPr>
          <w:rFonts w:eastAsia="Times New Roman" w:cs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Załącznik Nr 3 do uchwały Nr ....................</w:t>
        <w:br/>
        <w:t>Rady Gminy Mokrsko</w:t>
        <w:br/>
        <w:t>z dnia ...... marca 2025 r.</w:t>
      </w:r>
    </w:p>
    <w:p>
      <w:pPr>
        <w:sectPr>
          <w:footerReference w:type="even" r:id="rId57"/>
          <w:footerReference w:type="default" r:id="rId58"/>
          <w:footerReference w:type="first" r:id="rId59"/>
          <w:type w:val="nextPage"/>
          <w:pgSz w:w="11906" w:h="16838"/>
          <w:pgMar w:left="1020" w:right="1020" w:gutter="0" w:header="0" w:top="1417" w:footer="708" w:bottom="992"/>
          <w:pgNumType w:start="1" w:fmt="decimal"/>
          <w:formProt w:val="false"/>
          <w:textDirection w:val="lrTb"/>
          <w:docGrid w:type="default" w:linePitch="360" w:charSpace="0"/>
        </w:sectPr>
        <w:pStyle w:val="Normal"/>
        <w:keepNext w:val="true"/>
        <w:spacing w:lineRule="auto" w:line="240" w:before="0" w:after="480"/>
        <w:ind w:hanging="0" w:left="0" w:right="0"/>
        <w:jc w:val="center"/>
        <w:rPr>
          <w:rFonts w:ascii="Times New Roman" w:hAnsi="Times New Roman" w:eastAsia="Times New Roman" w:cs="Times New Roman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</w:pPr>
      <w:r>
        <w:rPr>
          <w:rFonts w:eastAsia="Times New Roman" w:cs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u w:val="none" w:color="000000"/>
          <w:vertAlign w:val="baseline"/>
        </w:rPr>
        <w:t>Dane przestrzenne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0" w:afterAutospacing="0" w:after="0"/>
        <w:ind w:hanging="0" w:left="0" w:right="0"/>
        <w:rPr>
          <w:szCs w:val="20"/>
        </w:rPr>
      </w:pPr>
      <w:r>
        <w:rPr>
          <w:szCs w:val="20"/>
        </w:rPr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0" w:afterAutospacing="0" w:after="0"/>
        <w:ind w:hanging="0" w:left="0" w:right="0"/>
        <w:jc w:val="center"/>
        <w:rPr>
          <w:szCs w:val="20"/>
        </w:rPr>
      </w:pPr>
      <w:r>
        <w:rPr>
          <w:b/>
          <w:szCs w:val="20"/>
        </w:rPr>
        <w:t>Uzasadnienie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Miejscowy plan zagospodarowania przestrzennego jest aktem prawa miejscowego, do ustanowienia, którego uprawnia Radę Gminy Mokrsko ustawa z dnia 8 marca 1990 roku o samorządzie gminnym oraz ustawa z dnia 27 marca 2003 roku o planowaniu i zagospodarowaniu przestrzennym.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Potrzebą przystąpienia do sporządzania miejscowego planu zagospodarowania przestrzennego dla obszarów położonych w gminie Mokrsko była deklaracja konieczności zmiany tego planu, podjęta przez Radę Gminy Mokrsko wraz z uchwaleniem Studium uwarunkowań i kierunków zagospodarowania przestrzennego Gminy Mokrsko (przyjętego uchwałą Nr XX/112/16 Rady Gminy Mokrsko z dnia 30 maja 2016 roku).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Przyjmując wymienione okoliczności, Rada Gminy Mokrsko w dniu 16 marca 2022 roku podjęła uchwałę Nr XL/227/22 w sprawie przystąpienia do sporządzenia miejscowego planu zagospodarowania przestrzennego dla obszarów położonych w gminie Mokrsko. Opracowywany plan miejscowy dotyczy 6 wyróżnionych na załącznikach do uchwały intencyjnej lokalizacji, to jest: nr 1, 2, 3, w obrębie Mokrsko (odpowiednio działki 1103/2, 1175, 1381 i 1382), nr 4 w obrębie Ożarów (działka 714/14) oraz 5 i 6 w obrębie Krzyworzeka (działki, odpowiednio nr: 800, 258). O fakcie przystąpienia do opracowania zmiany planu miejscowego społeczność lokalna została powiadomiona stosownymi ogłoszeniami i obwieszczeniami, zaś organy właściwe do opiniowania i uzgadniania planów – stosownymi zawiadomieniami.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Wraz z projektem miejscowego planu zagospodarowania przestrzennego wykonuje się prognozę jego oddziaływania na środowisko. Jest to opracowanie sporządzane na podstawie ustaw: przywoływanej na wstępie – o planowaniu i zagospodarowani przestrzennym oraz ustawy o udostępnieniu informacji o środowisku i jego ochronie, udziale społeczeństwa w ochronie środowiska oraz o ocenach oddziaływania na środowisko (z dnia 3 października 2008 roku). Zakres i stopień szczegółowości prognozy oddziaływania na środowisko uzgodniły obydwa powołane do tego organy, czyli: Regionalny Dyrektor Ochrony Środowiska w Łodzi oraz Państwowy Powiatowy Inspektor Sanitarny w Wieluniu.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W odpowiedzi na obwieszczenia, ogłoszenia i zawiadomienia o przystąpieniu do sporządzania planu, zostały przez organy i instytucje złożone wnioski. W oznaczonym w zawiadomieniu terminie nie wpłynął żaden wniosek osoby fizycznej.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W toku trwania procedury planistycznej Wójt Gminy Mokrsko, rozpatrując wszystkie wnioski – sporządził projekt zmiany planu miejscowego, którego integralną część jest rysunek składający się z 6 załączników oznaczonych od 1A do 1F. Wraz z projektem zmiany planu sporządzono prognozę jego oddziaływania na środowisko oraz prognozę skutków finansowych jego uchwalenia. Projekt planu sporządzono mając na uwadze ustalenia obowiązującego Studium uwarunkowań i kierunków zagospodarowania przestrzennego Gminy Mokrsko (Nr XX/112/16 Rady Gminy Mokrsko z dnia 30 maja 2016 roku), które w granicach planu rozmieszcza następujące funkcje: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- tereny zabudowy mieszkaniowej jednorodzinnej,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- tereny zabudowy zagrodowej,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- tereny rolne (oraz terenów trwałych użytków zielonych, zadrzewień, dolin rzecznych),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szCs w:val="20"/>
        </w:rPr>
      </w:pPr>
      <w:r>
        <w:rPr>
          <w:szCs w:val="20"/>
        </w:rPr>
        <w:t>- tereny zieleni urządzonej.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b/>
          <w:szCs w:val="20"/>
        </w:rPr>
        <w:t>W ramach zabudowy zagrodowej</w:t>
      </w:r>
      <w:r>
        <w:rPr>
          <w:color w:val="000000"/>
          <w:szCs w:val="20"/>
          <w:u w:val="none" w:color="000000"/>
        </w:rPr>
        <w:t>, dopuszczono lokalizację zabudowy mieszkaniowej jednorodzinnej, zabudowy usługowej, w szczególności usług podstawowych, i rzemieślniczej, w przypadku realizacji obiektu usługowego zalecono realizację miejsc postojowych w ilości przewidzianej dla zabudowy usługowej, przewidziano tu też możliwość  lokalizacji zakładów przetwórstwa rolnego, z ograniczeniem oddziaływania do granic własności terenu, a także lokalizacji obiektów związanych z usługami turystyczno–rekreacyjnymi (agroturystyka).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Ten typ funkcji występuje w obszarach przedstawionych na załącznikach 2, 3 i 5 do uchwały intencyjnej (rysunki  1B, 1C i 1E).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b/>
          <w:color w:val="000000"/>
          <w:szCs w:val="20"/>
          <w:u w:val="none" w:color="000000"/>
        </w:rPr>
        <w:t>W ramach zabudowy mieszkaniowej jednorodzinnej</w:t>
      </w:r>
      <w:r>
        <w:rPr>
          <w:color w:val="000000"/>
          <w:szCs w:val="20"/>
          <w:u w:val="none" w:color="000000"/>
        </w:rPr>
        <w:t xml:space="preserve"> dopuszczono lokalizację zabudowy usługowej, w szczególności usług podstawowych, jako uzupełnienie istniejącej zabudowy mieszkaniowej, w przypadku realizacji obiektu usługowego zaleca się realizację miejsc postojowych w ilości przewidzianej dla zabudowy usługowej.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Ten typ funkcji występuje w obszarach przedstawionych na załącznikach 1, 4, 5 i 6 do uchwały intencyjnej (rysunki 1A, 1D, 1E i 1F).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 xml:space="preserve">W terenach </w:t>
      </w:r>
      <w:r>
        <w:rPr>
          <w:b/>
          <w:color w:val="000000"/>
          <w:szCs w:val="20"/>
          <w:u w:val="none" w:color="000000"/>
        </w:rPr>
        <w:t>rolnych oraz terenów trwałych użytków zielonych, zadrzewień, dolin rzecznych</w:t>
      </w:r>
      <w:r>
        <w:rPr>
          <w:color w:val="000000"/>
          <w:szCs w:val="20"/>
          <w:u w:val="none" w:color="000000"/>
        </w:rPr>
        <w:t>, dopuszczono tworzenie zbiorników wodnych, rowów i zbiorników melioracyjnych, lokalizację, nie wyznaczonej na rysunku studium, rozproszonej zabudowy zagrodowej z możliwością budowy, rozbudowy, przebudowy i nadbudowy budynków, dopuszcza się zalesianie, nie wyznaczonych do tego celu na rysunku studium, terenów rolnych (grunty klas IV-VI i nieużytki), eksploatację, nie wyznaczonych na rysunku studium, złóż kopalin po ich udokumentowaniu oraz uzyskaniu wymaganych decyzji i koncesji zezwalających na wydobycie.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Tereny rolne obecne są na załącznikach 2, 3 i 4, do uchwały intencyjnej  (rysunki 1B, 1C i 1D)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Fragment obszaru planu w Ozarowie (rysunek 1D) przyporządkowanego funkcji określonej w studium jako tereny zieleni urządzonej, jest de facto w granicach działki stanowiącej użytkowanej przez Nadleśnictwo Wieluń. Ponadto granica zarówno terenu zieleni urządzonej stanowiące de facto park, jak też granica Zespołu Przyrodniczo – Krajobrazowego „Wzgórza Ożarowskie” zostały wniesione bardzo zgrubną dokładnością, co potwierdzają dane zarówno GDOŚ, jak też analiza ortofotomapy GUGIK i wizja terenowa. Mając na uwadze położenie poszczególnych części obszaru planu a także istniejącą zabudowę czy zagospodarowanie jak też projektowane sąsiedztwo w planie wyznaczono następujące typy terenów: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b/>
          <w:color w:val="000000"/>
          <w:szCs w:val="20"/>
          <w:u w:val="none" w:color="000000"/>
        </w:rPr>
        <w:t xml:space="preserve">– </w:t>
      </w:r>
      <w:r>
        <w:rPr>
          <w:b/>
          <w:color w:val="000000"/>
          <w:szCs w:val="20"/>
          <w:u w:val="none" w:color="000000"/>
        </w:rPr>
        <w:t xml:space="preserve">MNW </w:t>
      </w:r>
      <w:r>
        <w:rPr>
          <w:color w:val="000000"/>
          <w:szCs w:val="20"/>
          <w:u w:val="none" w:color="000000"/>
        </w:rPr>
        <w:t xml:space="preserve">– tereny zabudowy mieszkaniowej jednorodzinnej wolnostojącej (na terenach oznaczonych w studium funkcją </w:t>
      </w:r>
      <w:r>
        <w:rPr>
          <w:b/>
          <w:color w:val="000000"/>
          <w:szCs w:val="20"/>
          <w:u w:val="none" w:color="000000"/>
        </w:rPr>
        <w:t>tereny zabudowy mieszkaniowej jednorodzinnej</w:t>
      </w:r>
      <w:r>
        <w:rPr>
          <w:color w:val="000000"/>
          <w:szCs w:val="20"/>
          <w:u w:val="none" w:color="000000"/>
        </w:rPr>
        <w:t>),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 xml:space="preserve">– </w:t>
      </w:r>
      <w:r>
        <w:rPr>
          <w:b/>
          <w:color w:val="000000"/>
          <w:szCs w:val="20"/>
          <w:u w:val="none" w:color="000000"/>
        </w:rPr>
        <w:t xml:space="preserve">L </w:t>
      </w:r>
      <w:r>
        <w:rPr>
          <w:color w:val="000000"/>
          <w:szCs w:val="20"/>
          <w:u w:val="none" w:color="000000"/>
        </w:rPr>
        <w:t xml:space="preserve">– tereny lasów (w terenach oznaczonym w studium funkcją </w:t>
      </w:r>
      <w:r>
        <w:rPr>
          <w:b/>
          <w:color w:val="000000"/>
          <w:szCs w:val="20"/>
          <w:u w:val="none" w:color="000000"/>
        </w:rPr>
        <w:t>tereny leśne, tereny rolne</w:t>
      </w:r>
      <w:r>
        <w:rPr>
          <w:color w:val="000000"/>
          <w:szCs w:val="20"/>
          <w:u w:val="none" w:color="000000"/>
        </w:rPr>
        <w:t>),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 xml:space="preserve">– </w:t>
      </w:r>
      <w:r>
        <w:rPr>
          <w:b/>
          <w:color w:val="000000"/>
          <w:szCs w:val="20"/>
          <w:u w:val="none" w:color="000000"/>
        </w:rPr>
        <w:t xml:space="preserve">RN </w:t>
      </w:r>
      <w:r>
        <w:rPr>
          <w:color w:val="000000"/>
          <w:szCs w:val="20"/>
          <w:u w:val="none" w:color="000000"/>
        </w:rPr>
        <w:t xml:space="preserve">– tereny rolnictwa z zakazem zabudowy (w terenie oznaczonym w studium funkcją </w:t>
      </w:r>
      <w:r>
        <w:rPr>
          <w:b/>
          <w:color w:val="000000"/>
          <w:szCs w:val="20"/>
          <w:u w:val="none" w:color="000000"/>
        </w:rPr>
        <w:t xml:space="preserve"> tereny rolne</w:t>
      </w:r>
      <w:r>
        <w:rPr>
          <w:color w:val="000000"/>
          <w:szCs w:val="20"/>
          <w:u w:val="none" w:color="000000"/>
        </w:rPr>
        <w:t>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Projekt zmiany planu wraz z prognozą oddziaływania na środowisko przedstawiony został Gminnej Komisji Urbanistyczno-Architektonicznej, która podczas posiedzenia w dniu 19 października 2023 roku, wyraziła swoją opinię. Następnie projekt obydwu dokumentów (planu miejscowego i prognozy oddziaływania na środowisko) został przedstawiony organom i instytucjom właściwym do uzgodnień oraz wyrażania opinii.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W toku procesu uzgodnień i opinii zdecydowano, że w pierwszym etapie zrealizowany zostanie projekt obejmujący załączniki do uchwały intencyjnej o numerach od 1 do 3 oraz 5 i 6, stad dalszej procedurze podlegał projekt planu miejscowego z rysunkami o numerach od 1A do 1C oraz 1E i 1F. Zdecydowano się więc w pierwszym etapie pominąć część obszaru planu leżącą w Ożarowie (rysunek nr 1D).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Po przebyciu procesu uzgodnień i uzyskaniu wymaganych prawem opinii, wobec obecności w obszarach planu gruntów rolnych klas chronionych, należało uzyskać zgodę Ministra do spraw rolnictwa na zmianę przeznaczenia na cele nierolnicze. Wystąpiono ze stosownym wnioskiem, który obejmował łącznie 2,5677 ha gruntów. Decyzją, z dnia 26 maja 2024 r., przy piśmie DNI.tr.602.39.2024, Minister Rolnictwa i Rozwoju Wsi udzielił zgody na zmianę przeznaczenia na cele nierolnicze gruntów o łącznej powierzchni 1,0325 ha, zaś dla pozostałych 1,5352 ha – odmówił udzielenia zgody. W efekcie należało przeprojektować zasięgi terenów oznaczonych symbolami 1MNW i 7MNW (na załącznikach, odpowiednio 1A i 1F) oraz w granicach gruntów chronionych – wprowadzić tereny rolnicze, które oznaczono symbolami 1RZM i 2RZM. Na przyjęcie takiego rozwiązania planistycznego pozwalają zapisy studium zawarte w rozdziale 1.5. Zasady określania ustaleń studium w zakresie kierunków i wskaźników zagospodarowania oraz użytkowania i przeznaczenia terenów w miejscowych planach zagospodarowania przestrzennego. Ustalona tam, że „Określenia dotyczące formy użytkowania terenów dotyczą  podstawowych i uzupełniających lub towarzyszących rodzajów zabudowy. Na terenach tych mogą Studium uwarunkowań i kierunków zagospodarowania przestrzennego Gminy Mokrsko być realizowane także inne formy zabudowy, pod warunkiem nie pozostawania w sprzeczności z formami określonymi w studium”. Jako że zabudowa zagrodowa jest niesprzeczna (czyli nieprzeciwstawna, niewykluczająca się) z zabudową mieszkaniową jednorodzinna wolnostojąca, dlatego to rozwiązanie nie jest sprzeczne z ustaleniami obowiązującego Studium i mogło zostać zastosowane. Ponadto zabudowa zagrodowa powszechnie koegzystuje w gminie z zabudową jednorodzinną (tak nowozrealizowaną, jak też powstałą w wyniku adaptacji dawnych zagród). Finalnie więc, wcześniej sformułowana lista przeznaczeń terenów wzbogaciła się o tereny zabudowy zagrodowej.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Projekt planu wraz z prognozą został wyłożony do publicznego wglądu w dniach od 28 października 2024 roku do 18 listopada 2024 roku, zaś w dniu 4 listopada 2024 roku przeprowadzona została dyskusja publiczna nad przyjętymi w planie rozwiązaniami. Projekt planu i prognozę oddziaływania na środowisko udostępniano drogą elektroniczną na stronie BIP. Do projektów obu dokumentów, zgodnie z przepisami można było składać uwagi (w tym za pośrednictwem środków komunikacji elektronicznej), w terminie do dnia 2 grudnia 2024 roku. W określonym w obwieszczeniu i ogłoszeniu terminie, do projektu planu miejscowego, a także do prognozy jego oddziaływania na środowisko nie wpłynęły żadne uwagi, nie zaszły więc okoliczności podejmowania rozstrzygnięć w tym zakresie.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hanging="0" w:left="0" w:right="0"/>
        <w:jc w:val="center"/>
        <w:rPr>
          <w:b/>
          <w:color w:val="000000"/>
          <w:szCs w:val="20"/>
          <w:u w:val="none" w:color="000000"/>
        </w:rPr>
      </w:pPr>
      <w:r>
        <w:rPr>
          <w:b/>
          <w:color w:val="000000"/>
          <w:szCs w:val="20"/>
          <w:u w:val="none" w:color="000000"/>
        </w:rPr>
        <w:t>Sposób realizacji wymogów wynikających z art. 1 ust. 2-4 ustawy o planowaniu i zagospodarowaniu przestrzennym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Wymogi określone w </w:t>
      </w:r>
      <w:r>
        <w:rPr>
          <w:b/>
          <w:color w:val="000000"/>
          <w:szCs w:val="20"/>
          <w:u w:val="none" w:color="000000"/>
        </w:rPr>
        <w:t>art. 1 ust. 2 </w:t>
      </w:r>
      <w:r>
        <w:rPr>
          <w:color w:val="000000"/>
          <w:szCs w:val="20"/>
          <w:u w:val="none" w:color="000000"/>
        </w:rPr>
        <w:t>ustawy z dnia z dnia 27 marca 2003 roku o planowaniu i zagospodarowaniu przestrzennym, w niniejszym projekcie planu miejscowego uwzględniono w sposób następujący: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1) wymogi ładu przestrzennego, w tym urbanistyki i architektury – poprzez ustalenie w treści uchwały planu zasad ochrony i kształtowania ładu przestrzennego, a w tym gabarytów zabudowy, materiałów wykończeniowych i kolorystyki dachów oraz zasad kształtowania zabudowy i zagospodarowania terenu,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2) walory architektoniczne i krajobrazowe – poprzez określenie w treści uchwały zasad ochrony i kształtowania ładu przestrzennego, zasad kształtowania zabudowy oraz zagospodarowania terenów, zasad lokalizacji, gabarytów i kolorystyki, zasad podziału na działki budowlane;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3) wymagania ochrony środowiska, w tym gospodarowania wodami i ochrony gruntów rolnych i leśnych – poprzez określenie w treści uchwały zasad ochrony środowiska, przyrody i krajobrazu wyrażające się m. in. zakazem lokalizacji przedsięwzięć mogących zawsze znacząco oraz, potencjalnie znacząco oddziaływać na środowisko (za wyjątkiem inwestycji celu publicznego), a ponadto obowiązkiem ochrony powietrza atmosferycznego, wód podziemnych, oraz ustaleniem minimalnego udziału procentowego powierzchni biologicznie czynnej;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4) wymagania ochrony dziedzictwa kulturowego i zabytków oraz dóbr kultury współczesnej poprzez ustalenia dotyczące strefy ochrony archeologicznej stanowiska archeologicznego,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5) wymagania ochrony zdrowia oraz bezpieczeństwa ludzi i mienia, a także potrzeby osób niepełnosprawnych – poprzez ustalenie w treści uchwały wymogów w zakresie zasad ochrony środowiska, zasad obsługi komunikacyjnej w tym zapewnienia stanowisk postojowych dla pojazdów wyposażonych w kartę parkingową a także z zakresu wyposażenia w infrastrukturę techniczną;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6) walory ekonomiczne przestrzeni – poprzez przeznaczenie terenu dla realizacji zabudowy mieszkaniowej jednorodzinnej i usług, zabudowy usługowej, w większości w terenach – gdzie taka zabudowa się już znajduje lub stanowi kontynuację istniejącej w sąsiedztwie, zapewniona jest obsługa terenów bezpośrednio z istniejących dróg publicznych leżących poza obszarem planu, zaprojektowane tereny mają możliwość podłączenia zabudowy do istniejących sieci infrastruktury technicznej;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7) prawo własności – poprzez kształtowanie zagospodarowania w sposób racjonalny, nieingerujący w prawa dysponowania poszczególnymi nieruchomościami znajdującymi się w granicach planu miejscowego i zachowując poszanowanie dla własności prywatnej, jak też gminnej;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8) potrzeby obronności i bezpieczeństwa państwa – w obszarze planu wynikają one w całości z przepisów odrębnych i nie wymagały dodatkowych ustaleń;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9) potrzeby interesu publicznego – w granicach obszaru planu nie występują przedsięwzięcia z zakresu interesu publicznego;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10) potrzeby w zakresie rozwoju infrastruktury technicznej – poprzez ustalenie zasad przebudowy, rozbudowy i budowy systemów infrastruktury technicznej;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11) zapewnienie udziału społeczeństwa w pracach nad miejscowym planem zagospodarowania przestrzennego, w tym przy użyciu środków komunikacji elektronicznej oraz zachowanie jasności i przejrzystości procedur planistycznych poprzez: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a)podanie do publicznej wiadomości informacji o przystąpieniu do sporządzenia planu miejscowego wraz z prognozą oraz wyłożeniu tych dokumentów do publicznego wglądu, zgodnie z wymogami ustawy z dnia 27 marca 2003 roku o planowaniu i zagospodarowaniu przestrzennym oraz ustawy z dnia 3 października 2008 roku o udostępnianiu informacji o środowisku i jego ochronie, udziale społeczeństwa w ochronie środowiska oraz ocenach oddziaływania na środowisko – w formie ogłoszeń w prasie, obwieszczeń zamieszczonych na tablicy ogłoszeń oraz na oficjalnej stronie internetowej Urzędu Gminy Mokrsko,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b) umożliwienie składania wniosków do planu i prognozy oddziaływania na środowisko w tym przy użyciu drogi elektronicznej,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c) udostępnienie projektu planu miejscowego wraz z prognozą oddziaływania na środowisko do publicznego wglądu oraz na żądanie drogą elektroniczną,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d) przeprowadzenie dyskusji publicznej,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e) umożliwienie składania wniosków i uwag do planu miejscowego i prognozy oddziaływania na środowisko, w tym przy użyciu drogi elektronicznej;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12) potrzebę zapewnienia odpowiedniej ilości i jakości wody do celów zaopatrzenia ludności – w obszarze planu istnieje sieć wodociągu gminnego, który zapewnia zaopatrzenie w wodę do picia oraz na cele przeciwpożarowe.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Zgodnie z </w:t>
      </w:r>
      <w:r>
        <w:rPr>
          <w:b/>
          <w:color w:val="000000"/>
          <w:szCs w:val="20"/>
          <w:u w:val="none" w:color="000000"/>
        </w:rPr>
        <w:t>art. 1 ust. 3 </w:t>
      </w:r>
      <w:r>
        <w:rPr>
          <w:color w:val="000000"/>
          <w:szCs w:val="20"/>
          <w:u w:val="none" w:color="000000"/>
        </w:rPr>
        <w:t>ustawy z dnia 27 marca 2003 roku o planowaniu i zagospodarowaniu przestrzennym, ustalając przeznaczenie terenu organ ważył interes publiczny i interesy prywatne, w tym w zakresie jego zagospodarowania, a także wykonywał analizy ekonomiczne i środowiskowe.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Projektowane przeznaczenie terenu kształtowano w sposób racjonalny, w oparciu o zaprogramowane już na etapie tworzenia obowiązującego Studium rozmieszczenie funkcji umożliwiających optymalne zagospodarowanie przestrzeni.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Dla potrzeb projektu planu miejscowego, zgodnie z wymogami art. 17 pkt 4 i 5 ustawy o planowaniu i zagospodarowaniu przestrzennym sporządzono prognozy: oddziaływania na środowisko oraz skutków finansowych uchwalenia planu.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Zgodnie z </w:t>
      </w:r>
      <w:r>
        <w:rPr>
          <w:b/>
          <w:color w:val="000000"/>
          <w:szCs w:val="20"/>
          <w:u w:val="none" w:color="000000"/>
        </w:rPr>
        <w:t>art. 1 ust. 4 </w:t>
      </w:r>
      <w:r>
        <w:rPr>
          <w:color w:val="000000"/>
          <w:szCs w:val="20"/>
          <w:u w:val="none" w:color="000000"/>
        </w:rPr>
        <w:t>ustawy z dnia 27 marca 2003 roku o planowaniu i zagospodarowaniu przestrzennym, sytuując nową zabudowę uwzględniono wymagania ładu przestrzennego, efektywne gospodarowanie przestrzenią oraz jej walory ekonomiczne poprzez: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1) kształtowanie struktur przestrzennych przy uwzględnieniu dążenia do minimalizowania transportochłonności układu przestrzennego, rozwój zabudowy przewiduje się na terenie posiadającym bezpośredni dostęp do istniejących dróg publicznych – wzdłuż nich;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2) dostęp do transportu publicznego będzie realizowany poprzez dostęp do środków lokomocji publicznej kursujących drogami przebiegającymi przez gminę Mokrsko;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3) zapewnienie rozwiązań przestrzennych ułatwiających przemieszczanie się pieszych i rowerzystów: w obszarze planu nie projektowano ciągów komunikacyjnych dlatego że jego obszar (przedstawiony na każdym z rysunków) jest skomunikowany istniejącymi już drogami publicznymi, leżącymi poza jego granicami;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4) dążenie do planowania i lokalizowania nowej zabudowy na terenach o wykształconej strukturze funkcjonalno-przestrzennej jako uzupełnienie terenów istniejącej zabudowy.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hanging="0" w:left="0" w:right="0"/>
        <w:jc w:val="center"/>
        <w:rPr>
          <w:b/>
          <w:color w:val="000000"/>
          <w:szCs w:val="20"/>
          <w:u w:val="none" w:color="000000"/>
        </w:rPr>
      </w:pPr>
      <w:r>
        <w:rPr>
          <w:b/>
          <w:color w:val="000000"/>
          <w:szCs w:val="20"/>
          <w:u w:val="none" w:color="000000"/>
        </w:rPr>
        <w:t>Zgodność z wynikami analizy, o której mowa w art. 32 ust. 1 ustawy z dnia 27 marca o planowaniu i zagospodarowaniu przestrzennym oraz sposób zapewnienia uniwersalnego projektowania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 xml:space="preserve">Stosownie do wymogów art. </w:t>
      </w:r>
      <w:r>
        <w:rPr>
          <w:b/>
          <w:color w:val="000000"/>
          <w:szCs w:val="20"/>
          <w:u w:val="none" w:color="000000"/>
        </w:rPr>
        <w:t>32 ust. 1 </w:t>
      </w:r>
      <w:r>
        <w:rPr>
          <w:color w:val="000000"/>
          <w:szCs w:val="20"/>
          <w:u w:val="none" w:color="000000"/>
        </w:rPr>
        <w:t>ustawy o planowaniu i zagospodarowaniu przestrzennym, wójt, burmistrz albo prezydent dokonuje analizy zmian w zagospodarowaniu przestrzennym, ocenia postępy w opracowaniu planów miejscowych w nawiązaniu do ustaleń studium uwarunkowań i kierunków zagospodarowania przestrzennego oraz prowadzonego przez siebie rejestru wniosków dotyczących zmian w zagospodarowaniu przestrzennym. W gminie Mokrsko przeprowadzono taką analizę i ocenę, zaś ich wyniki Rada Gminy Mokrsko przyjęła uchwałą XLVIII/252/18 z dnia 7 września 2018 r. W przyjętym dokumencie stwierdzono aktualność obowiązującego Studium uwarunkowań i kierunków zagospodarowania przestrzennego Gminy Mokrsko. Studium zaś wyznaczającej tereny o funkcjach budowlanych wskazało jednocześnie je jako obszary przyszłych przystąpień do sporządzania planów miejscowych.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Sposób projektowania uniwersalnego, o którym mowa w ustawie z dnia 19 lipca 2019 roku o zapewnieniu dostępności osobom ze szczególnymi potrzebami, uwzględniono poprzez ustalenia zapewniające dostępność projektowanych przeznaczeń dla osób niepełnosprawnych – z jednej strony, z drugiej zaś poprzez zapewnienie możliwości udziału w procesie partycypacji społecznej przedstawiciela urzędu posługującego się językiem migowym.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hanging="0" w:left="0" w:right="0"/>
        <w:jc w:val="center"/>
        <w:rPr>
          <w:b/>
          <w:color w:val="000000"/>
          <w:szCs w:val="20"/>
          <w:u w:val="none" w:color="000000"/>
        </w:rPr>
      </w:pPr>
      <w:r>
        <w:rPr>
          <w:b/>
          <w:color w:val="000000"/>
          <w:szCs w:val="20"/>
          <w:u w:val="none" w:color="000000"/>
        </w:rPr>
        <w:t>Wpływ na finanse publiczne, w tym na budżet gminy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Zgodnie z wymogiem art. 17 pkt 5 ustawy z dnia 27 marca 2003 roku o planowaniu i zagospodarowaniu przestrzennym, dla potrzeb planu miejscowego sporządzono prognozę skutków finansowych uchwalenia planu miejscowego.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Prognoza wykazała, że realizacja ustaleń projektu planu jeśli będzie skutkować koniecznością poniesienia wydatków z budżetu gminy związanych wyłącznie z jego uchwaleniem, to nawet przy dość ostrożnych założeniach dotyczących wykonania zagospodarowania obszarów zgodnie z planem można się spodziewać wzrostu cyklicznych wpływów z tytułu podatku od nieruchomości, które uczynią plan wykonalnym pod względem finansowym.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Zgodnie z przepisami ustawy z dnia 27 marca 2003 roku o planowaniu i zagospodarowaniu przestrzennym, w ramach uchwalenia planu miejscowego Rada Gminy Mokrsko podejmuje rozstrzygnięcie o sposobie realizacji zapisanych w planie inwestycji z zakresu infrastruktury technicznej, które należą do zadań własnych gminy oraz o zasadach ich finansowania, zgodnie z przepisami o finansach publicznych, stanowiące załącznik Nr 2 do uchwały. Zgodnie z art. 7 ustawy z dnia 8 marca 1990 roku o samorządzie gminnym, rozstrzygnięcie to dotyczy wyłącznie zadań własnych Gminy.</w:t>
      </w:r>
    </w:p>
    <w:p>
      <w:pPr>
        <w:pStyle w:val="Normal"/>
        <w:keepNext w:val="false"/>
        <w:keepLines w:val="false"/>
        <w:widowControl/>
        <w:suppressLineNumbers w:val="0"/>
        <w:shd w:val="clear" w:color="auto" w:fill="auto"/>
        <w:suppressAutoHyphens w:val="false"/>
        <w:spacing w:lineRule="auto" w:line="240" w:beforeAutospacing="0" w:before="120" w:afterAutospacing="0" w:after="120"/>
        <w:ind w:firstLine="227" w:left="0" w:right="0"/>
        <w:rPr>
          <w:color w:val="000000"/>
          <w:szCs w:val="20"/>
          <w:u w:val="none" w:color="000000"/>
        </w:rPr>
      </w:pPr>
      <w:r>
        <w:rPr>
          <w:color w:val="000000"/>
          <w:szCs w:val="20"/>
          <w:u w:val="none" w:color="000000"/>
        </w:rPr>
        <w:t>Wobec spełnienia wymogów formalnych w myśl przepisów ustawy z dnia 27 marca 2003 roku o planowaniu i zagospodarowaniu przestrzennym zaistniały okoliczności prawne pozwalające na uchwalenie niniejszej zmiany planu i zakończenie procedury formalno – prawnej sporządzenia miejscowego planu. zagospodarowania przestrzennego.</w:t>
      </w:r>
    </w:p>
    <w:sectPr>
      <w:footerReference w:type="even" r:id="rId60"/>
      <w:footerReference w:type="default" r:id="rId61"/>
      <w:footerReference w:type="first" r:id="rId62"/>
      <w:type w:val="nextPage"/>
      <w:pgSz w:w="11906" w:h="16838"/>
      <w:pgMar w:left="1020" w:right="1020" w:gutter="0" w:header="0" w:top="1417" w:footer="708" w:bottom="992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7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7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1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7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1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6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2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1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2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2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1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2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2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6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2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6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8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tbl>
    <w:tblPr>
      <w:tblW w:w="5000" w:type="pct"/>
      <w:jc w:val="left"/>
      <w:tblInd w:w="0" w:type="dxa"/>
      <w:tblLayout w:type="fixed"/>
      <w:tblCellMar>
        <w:top w:w="100" w:type="dxa"/>
        <w:left w:w="0" w:type="dxa"/>
        <w:bottom w:w="0" w:type="dxa"/>
        <w:right w:w="0" w:type="dxa"/>
      </w:tblCellMar>
    </w:tblPr>
    <w:tblGrid>
      <w:gridCol w:w="6576"/>
      <w:gridCol w:w="3289"/>
    </w:tblGrid>
    <w:tr>
      <w:trPr/>
      <w:tc>
        <w:tcPr>
          <w:tcW w:w="6576" w:type="dxa"/>
          <w:tcBorders>
            <w:top w:val="single" w:sz="4" w:space="0" w:color="000000"/>
          </w:tcBorders>
        </w:tcPr>
        <w:p>
          <w:pPr>
            <w:pStyle w:val="Normal"/>
            <w:jc w:val="lef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>Id: 568FB6C4-8873-47BA-981B-DEDB42AB2023. Projekt</w:t>
          </w:r>
        </w:p>
      </w:tc>
      <w:tc>
        <w:tcPr>
          <w:tcW w:w="3289" w:type="dxa"/>
          <w:tcBorders>
            <w:top w:val="single" w:sz="4" w:space="0" w:color="000000"/>
          </w:tcBorders>
        </w:tcPr>
        <w:p>
          <w:pPr>
            <w:pStyle w:val="Normal"/>
            <w:jc w:val="right"/>
            <w:rPr>
              <w:rFonts w:ascii="Times New Roman" w:hAnsi="Times New Roman" w:eastAsia="Times New Roman" w:cs="Times New Roman"/>
              <w:b w:val="false"/>
              <w:sz w:val="18"/>
            </w:rPr>
          </w:pPr>
          <w:r>
            <w:rPr>
              <w:rFonts w:eastAsia="Times New Roman" w:cs="Times New Roman"/>
              <w:b w:val="false"/>
              <w:sz w:val="18"/>
            </w:rPr>
            <w:t xml:space="preserve">Strona </w:t>
          </w:r>
          <w:r>
            <w:rPr>
              <w:rFonts w:eastAsia="Times New Roman" w:cs="Times New Roman"/>
              <w:b w:val="false"/>
              <w:sz w:val="18"/>
            </w:rPr>
            <w:fldChar w:fldCharType="begin"/>
          </w:r>
          <w:r>
            <w:rPr>
              <w:sz w:val="18"/>
              <w:b w:val="false"/>
              <w:rFonts w:eastAsia="Times New Roman" w:cs="Times New Roman"/>
            </w:rPr>
            <w:instrText xml:space="preserve"> PAGE </w:instrText>
          </w:r>
          <w:r>
            <w:rPr>
              <w:sz w:val="18"/>
              <w:b w:val="false"/>
              <w:rFonts w:eastAsia="Times New Roman" w:cs="Times New Roman"/>
            </w:rPr>
            <w:fldChar w:fldCharType="separate"/>
          </w:r>
          <w:r>
            <w:rPr>
              <w:sz w:val="18"/>
              <w:b w:val="false"/>
              <w:rFonts w:eastAsia="Times New Roman" w:cs="Times New Roman"/>
            </w:rPr>
            <w:t>5</w:t>
          </w:r>
          <w:r>
            <w:rPr>
              <w:sz w:val="18"/>
              <w:b w:val="false"/>
              <w:rFonts w:eastAsia="Times New Roman" w:cs="Times New Roman"/>
            </w:rPr>
            <w:fldChar w:fldCharType="end"/>
          </w:r>
        </w:p>
      </w:tc>
    </w:tr>
  </w:tbl>
  <w:p>
    <w:pPr>
      <w:pStyle w:val="Normal"/>
      <w:rPr>
        <w:rFonts w:ascii="Times New Roman" w:hAnsi="Times New Roman" w:eastAsia="Times New Roman" w:cs="Times New Roman"/>
        <w:b w:val="false"/>
        <w:sz w:val="18"/>
      </w:rPr>
    </w:pPr>
    <w:r>
      <w:rPr>
        <w:rFonts w:eastAsia="Times New Roman" w:cs="Times New Roman"/>
        <w:b w:val="false"/>
        <w:sz w:val="18"/>
      </w:rPr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settings.xml><?xml version="1.0" encoding="utf-8"?>
<w:settings xmlns:w="http://schemas.openxmlformats.org/wordprocessingml/2006/main">
  <w:zoom w:percent="100"/>
  <w:defaultTabStop w:val="720"/>
  <w:autoHyphenation w:val="true"/>
  <w:hyphenationZone w:val="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pl-PL" w:eastAsia="pl-PL" w:bidi="pl-PL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</w:latentStyles>
  <w:style w:type="paragraph" w:styleId="Normal" w:default="1">
    <w:name w:val="Normal"/>
    <w:qFormat/>
    <w:pPr>
      <w:widowControl/>
      <w:bidi w:val="0"/>
      <w:spacing w:before="0" w:after="0"/>
      <w:jc w:val="both"/>
    </w:pPr>
    <w:rPr>
      <w:rFonts w:ascii="Times New Roman" w:hAnsi="Times New Roman" w:eastAsia="Times New Roman" w:cs="Times New Roman"/>
      <w:color w:val="auto"/>
      <w:kern w:val="0"/>
      <w:sz w:val="22"/>
      <w:szCs w:val="24"/>
      <w:lang w:val="pl-PL" w:eastAsia="pl-PL" w:bidi="pl-PL"/>
    </w:rPr>
  </w:style>
  <w:style w:type="character" w:styleId="DefaultParagraphFont" w:default="1">
    <w:name w:val="Default Paragraph Font"/>
    <w:semiHidden/>
    <w:qFormat/>
    <w:rPr>
      <w:lang w:val="pl-PL" w:eastAsia="pl-PL" w:bidi="pl-PL"/>
    </w:rPr>
  </w:style>
  <w:style w:type="character" w:styleId="Znakiprzypiswkocowych">
    <w:name w:val="Znaki przypisów końcowych"/>
    <w:qFormat/>
    <w:rPr/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Gwkaistopka">
    <w:name w:val="Główka i stopka"/>
    <w:basedOn w:val="Normal"/>
    <w:qFormat/>
    <w:pPr/>
    <w:rPr/>
  </w:style>
  <w:style w:type="paragraph" w:styleId="Footer">
    <w:name w:val="footer"/>
    <w:basedOn w:val="Gwkaistopka"/>
    <w:pPr/>
    <w:rPr/>
  </w:style>
  <w:style w:type="numbering" w:styleId="Bezlisty" w:default="1">
    <w:name w:val="Bez listy"/>
    <w:semiHidden/>
    <w:qFormat/>
  </w:style>
  <w:style w:type="table" w:default="1" w:styleId="TableNormal">
    <w:name w:val="Normal Table"/>
    <w:semiHidden/>
    <w:rPr>
      <w:lang w:val="pl-PL" w:eastAsia="pl-PL" w:bidi="pl-PL"/>
    </w:r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er" Target="footer1.xml"/><Relationship Id="rId3" Type="http://schemas.openxmlformats.org/officeDocument/2006/relationships/footer" Target="footer2.xml"/><Relationship Id="rId4" Type="http://schemas.openxmlformats.org/officeDocument/2006/relationships/footer" Target="footer3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footer" Target="footer4.xml"/><Relationship Id="rId14" Type="http://schemas.openxmlformats.org/officeDocument/2006/relationships/footer" Target="footer5.xml"/><Relationship Id="rId15" Type="http://schemas.openxmlformats.org/officeDocument/2006/relationships/footer" Target="footer6.xml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footer" Target="footer7.xml"/><Relationship Id="rId22" Type="http://schemas.openxmlformats.org/officeDocument/2006/relationships/footer" Target="footer8.xml"/><Relationship Id="rId23" Type="http://schemas.openxmlformats.org/officeDocument/2006/relationships/footer" Target="footer9.xml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footer" Target="footer10.xml"/><Relationship Id="rId32" Type="http://schemas.openxmlformats.org/officeDocument/2006/relationships/footer" Target="footer11.xml"/><Relationship Id="rId33" Type="http://schemas.openxmlformats.org/officeDocument/2006/relationships/footer" Target="footer12.xml"/><Relationship Id="rId34" Type="http://schemas.openxmlformats.org/officeDocument/2006/relationships/image" Target="media/image21.png"/><Relationship Id="rId35" Type="http://schemas.openxmlformats.org/officeDocument/2006/relationships/image" Target="media/image22.png"/><Relationship Id="rId36" Type="http://schemas.openxmlformats.org/officeDocument/2006/relationships/image" Target="media/image23.png"/><Relationship Id="rId37" Type="http://schemas.openxmlformats.org/officeDocument/2006/relationships/image" Target="media/image24.png"/><Relationship Id="rId38" Type="http://schemas.openxmlformats.org/officeDocument/2006/relationships/image" Target="media/image25.png"/><Relationship Id="rId39" Type="http://schemas.openxmlformats.org/officeDocument/2006/relationships/image" Target="media/image26.png"/><Relationship Id="rId40" Type="http://schemas.openxmlformats.org/officeDocument/2006/relationships/image" Target="media/image27.png"/><Relationship Id="rId41" Type="http://schemas.openxmlformats.org/officeDocument/2006/relationships/footer" Target="footer13.xml"/><Relationship Id="rId42" Type="http://schemas.openxmlformats.org/officeDocument/2006/relationships/footer" Target="footer14.xml"/><Relationship Id="rId43" Type="http://schemas.openxmlformats.org/officeDocument/2006/relationships/footer" Target="footer15.xml"/><Relationship Id="rId44" Type="http://schemas.openxmlformats.org/officeDocument/2006/relationships/image" Target="media/image28.png"/><Relationship Id="rId45" Type="http://schemas.openxmlformats.org/officeDocument/2006/relationships/image" Target="media/image29.png"/><Relationship Id="rId46" Type="http://schemas.openxmlformats.org/officeDocument/2006/relationships/image" Target="media/image30.png"/><Relationship Id="rId47" Type="http://schemas.openxmlformats.org/officeDocument/2006/relationships/image" Target="media/image31.png"/><Relationship Id="rId48" Type="http://schemas.openxmlformats.org/officeDocument/2006/relationships/image" Target="media/image32.png"/><Relationship Id="rId49" Type="http://schemas.openxmlformats.org/officeDocument/2006/relationships/image" Target="media/image33.png"/><Relationship Id="rId50" Type="http://schemas.openxmlformats.org/officeDocument/2006/relationships/image" Target="media/image34.png"/><Relationship Id="rId51" Type="http://schemas.openxmlformats.org/officeDocument/2006/relationships/footer" Target="footer16.xml"/><Relationship Id="rId52" Type="http://schemas.openxmlformats.org/officeDocument/2006/relationships/footer" Target="footer17.xml"/><Relationship Id="rId53" Type="http://schemas.openxmlformats.org/officeDocument/2006/relationships/footer" Target="footer18.xml"/><Relationship Id="rId54" Type="http://schemas.openxmlformats.org/officeDocument/2006/relationships/footer" Target="footer19.xml"/><Relationship Id="rId55" Type="http://schemas.openxmlformats.org/officeDocument/2006/relationships/footer" Target="footer20.xml"/><Relationship Id="rId56" Type="http://schemas.openxmlformats.org/officeDocument/2006/relationships/footer" Target="footer21.xml"/><Relationship Id="rId57" Type="http://schemas.openxmlformats.org/officeDocument/2006/relationships/footer" Target="footer22.xml"/><Relationship Id="rId58" Type="http://schemas.openxmlformats.org/officeDocument/2006/relationships/footer" Target="footer23.xml"/><Relationship Id="rId59" Type="http://schemas.openxmlformats.org/officeDocument/2006/relationships/footer" Target="footer24.xml"/><Relationship Id="rId60" Type="http://schemas.openxmlformats.org/officeDocument/2006/relationships/footer" Target="footer25.xml"/><Relationship Id="rId61" Type="http://schemas.openxmlformats.org/officeDocument/2006/relationships/footer" Target="footer26.xml"/><Relationship Id="rId62" Type="http://schemas.openxmlformats.org/officeDocument/2006/relationships/footer" Target="footer27.xml"/><Relationship Id="rId63" Type="http://schemas.openxmlformats.org/officeDocument/2006/relationships/fontTable" Target="fontTable.xml"/><Relationship Id="rId64" Type="http://schemas.openxmlformats.org/officeDocument/2006/relationships/settings" Target="settings.xml"/><Relationship Id="rId6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Application>LibreOffice/24.8.5.2$Windows_X86_64 LibreOffice_project/fddf2685c70b461e7832239a0162a77216259f22</Application>
  <AppVersion>15.0000</AppVersion>
  <Pages>56</Pages>
  <Words>6730</Words>
  <Characters>44093</Characters>
  <CharactersWithSpaces>50600</CharactersWithSpaces>
  <Paragraphs>329</Paragraphs>
  <Company>Rada Gminy Mokrsko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category>Akt prawny</cp:category>
  <dcterms:created xsi:type="dcterms:W3CDTF">2025-03-18T08:43:58Z</dcterms:created>
  <dc:creator>awiktorek</dc:creator>
  <dc:description/>
  <dc:language>pl-PL</dc:language>
  <cp:lastModifiedBy>awiktorek</cp:lastModifiedBy>
  <dcterms:modified xsi:type="dcterms:W3CDTF">2025-03-18T08:43:58Z</dcterms:modified>
  <cp:revision>1</cp:revision>
  <dc:subject>w sprawie uchwalenia miejscowego planu zagospodarowania przestrzennego dla obszarów położonych w^gminie Mokrsko – etap I</dc:subject>
  <dc:title>Uchwała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