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PROJEKT z dnia 03.12.2020 r.</w:t>
      </w:r>
    </w:p>
    <w:p>
      <w:pPr>
        <w:pStyle w:val="Normal"/>
        <w:spacing w:before="0" w:after="160"/>
        <w:jc w:val="center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UCHWAŁA</w:t>
      </w:r>
    </w:p>
    <w:p>
      <w:pPr>
        <w:pStyle w:val="Normal"/>
        <w:spacing w:before="0" w:after="160"/>
        <w:jc w:val="center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Nr ……………………..</w:t>
      </w:r>
    </w:p>
    <w:p>
      <w:pPr>
        <w:pStyle w:val="Normal"/>
        <w:spacing w:before="0" w:after="160"/>
        <w:jc w:val="center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RADY GMINY MOKRSKO</w:t>
      </w:r>
    </w:p>
    <w:p>
      <w:pPr>
        <w:pStyle w:val="Normal"/>
        <w:spacing w:before="0" w:after="160"/>
        <w:jc w:val="center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z dnia …… 2020 r.</w:t>
      </w:r>
    </w:p>
    <w:p>
      <w:pPr>
        <w:pStyle w:val="Normal"/>
        <w:spacing w:before="0" w:after="160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 sprawie wyznaczenia obszaru i granic Aglomeracji Mokrsko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Na podstawie art. 18 ust. 2 pkt 15 ustawy z dnia 8 marca 1990 r. o samorządzie gminnym (Dz. U. z 2020 r. poz. 7</w:t>
      </w:r>
      <w:r>
        <w:rPr>
          <w:color w:val="000000" w:themeColor="text1"/>
          <w:shd w:fill="FFFFFF" w:val="clear"/>
        </w:rPr>
        <w:t xml:space="preserve">13 i 1378) oraz art. 87 ust. 1 i 4 ustawy z dnia 20 lipca 2017 r. Prawo wodne (Dz. U. 2020 poz. 310, </w:t>
      </w:r>
      <w:r>
        <w:rPr>
          <w:color w:val="000000" w:themeColor="text1"/>
          <w:shd w:fill="FFFFFF" w:val="clear"/>
        </w:rPr>
        <w:t>695, 782, 875, 1378</w:t>
      </w:r>
      <w:r>
        <w:rPr>
          <w:color w:val="000000" w:themeColor="text1"/>
          <w:shd w:fill="FFFFFF" w:val="clear"/>
        </w:rPr>
        <w:t>) Rada Gminy Mokrsko uchwala, co następuje: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1. Wyznacza się aglomerację Mokrsko o równoważnej liczbie mieszkańców (RLM) 2616.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2. Aglomeracja Mokrsko obejmuje swym zasięgiem tereny objęte systemem kanalizacji zbiorczej zakończonym oczyszczalnią ścieków zlokalizowaną w miejscowości Mokrsko.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3. Część opisową niniejszej uchwały stanowi załącznik nr 1.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4. Obszar aglomeracji Mokrsko wyznacza się na terenie miejscowości Mokrsko i Krzyworzeka, w granicach, które zostały oznaczone na mapie w skali 1:10 000, stanowiącej załącznik nr 2 do niniejszej uchwały.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5. Wykonanie uchwały powierza się Wójtowi Gminy Mokrsko.</w:t>
      </w:r>
    </w:p>
    <w:p>
      <w:pPr>
        <w:pStyle w:val="Normal"/>
        <w:spacing w:before="0" w:after="160"/>
        <w:jc w:val="both"/>
        <w:rPr>
          <w:color w:val="000000" w:themeColor="text1"/>
        </w:rPr>
      </w:pPr>
      <w:r>
        <w:rPr>
          <w:color w:val="000000" w:themeColor="text1"/>
        </w:rPr>
        <w:t>§ 6. Uchwała wchodzi w życie po upływie 14 dni od dnia ogłoszenia w Dzienniku Urzędowym Województwa Łódzkiego.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UZASADNIENIE DO UCHWAŁY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Nr ……………..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RADY GMINY MOKRSKO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z dnia …………….. 2020 r.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Zgodnie z art. 81 ust. 1 ustawy Prawo wodne z dnia 20 lipca 2017 r. (t.j. Dz. U. 2020 poz. 310 z późn. zm.) aglomerację wyznacza, w drodze uchwały będącej aktem prawa miejscowego, odpowiednia rada gminy.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Aglomeracja Gminy Mokrsko została wyznaczona uchwałą nr IV/43/2015 Sejmiku Województwa Łódzkiego z dnia 27.01.2015  w sprawie wyznaczenia aglomeracji Mokrsko (Dz. Urz. Woj. Łódzkiego z 2015 r., poz. 677. Zgodnie z art. 565 ust. 2 ustawy Prawo wodne powyższy akt prawa miejscowego zachowuje moc nie dłużej niż do dnia 31 grudnia 2020 r.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W wyniku przeprowadzonego przez Wójta Gminy Mokrsko przeglądu obszarów i granic aglomeracji stwierdzono, że ze względu na rozwój skanalizowania terenu gminy oraz zmianę liczby mieszkańców aglomeracji zachodzi potrzeba zaktualizowania granic i obszaru aglomeracji, a także rzeczywistej liczby RLM na terenie aglomeracji.</w:t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  <w:t xml:space="preserve">Aglomeracja Mokrsko została wyznaczona jedynie na obszarze gminy Mokrsko.  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Za podstawę wyznaczenia obszaru i granic aglomeracji, przyjęto dokumenty, o których mowa w § 3 ust. 1 rozporządzenia Ministra Gospodarki Morskiej i Żeglugi Śródlądowej z dnia 27 lipca 2018 r. w sprawie sposobu wyznaczania obszarów i granic aglomeracji tj.: 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Calibri"/>
        </w:rPr>
      </w:pPr>
      <w:r>
        <w:rPr>
          <w:rFonts w:eastAsia="Calibri"/>
        </w:rPr>
        <w:t>Studium uwarunkowań i kierunków zagospodarowania przestrzennego Gminy  Mokrsko Uchwała NR XLVI/258/10 Rady Gminy Mokrsko z dnia 21 czerwca 2010 ;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Calibri"/>
        </w:rPr>
      </w:pPr>
      <w:r>
        <w:rPr>
          <w:rFonts w:eastAsia="Calibri"/>
        </w:rPr>
        <w:t xml:space="preserve">Decyzje o warunkach zabudowy i zagospodarowania terenu wydane przez Wójta Mokrska dla terenów zlokalizowanych w granicach aglomeracji, 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Calibri"/>
        </w:rPr>
      </w:pPr>
      <w:r>
        <w:rPr>
          <w:rFonts w:eastAsia="Calibri"/>
        </w:rPr>
        <w:t xml:space="preserve">Miejscowy plan zagospodarowania przestrzennego gminy </w:t>
      </w:r>
    </w:p>
    <w:p>
      <w:pPr>
        <w:pStyle w:val="ListParagraph"/>
        <w:numPr>
          <w:ilvl w:val="0"/>
          <w:numId w:val="11"/>
        </w:numPr>
        <w:spacing w:before="0" w:after="160"/>
        <w:ind w:left="993" w:hanging="360"/>
        <w:contextualSpacing/>
        <w:jc w:val="both"/>
        <w:rPr>
          <w:rFonts w:eastAsia="Calibri"/>
        </w:rPr>
      </w:pPr>
      <w:r>
        <w:rPr>
          <w:rFonts w:eastAsia="Calibri"/>
        </w:rPr>
        <w:t>Miejscowy plan zagospodarowania przestrzennego gminy Mokrsko, - uchwała Nr XIV/64/03 Rady Gminy w Mokrsku z dnia 18 grudnia 2003 r. w sprawie uchwalenia miejscowego planu zagospodarowania przestrzennego gminy Mokrsko, powiat wieluński, województwo łódzkie, opublikowana w Dzienniku Urzędowym Województwa Łódzkiego nr 25 poz. 287 z dnia  6 lutego 2004 r., który utrzymuje miejscowego mocy ustalenia zmiany miejscowego planu ogólnego zagospodarowania przestrzennego gminy Mokrsko, powiat wieluński, - uchwała Nr X/74/99 Rady Gminy w Mokrsku z dnia 27 października 1999 r.  w sprawie zmiany miejscowego planu ogólnego zagospodarowania przestrzennego gminy Mokrsko, powiat wieluński, opublikowana w Dzienniku Urzędowym Województwa Łódzkiego z dnia 17 grudnia 1999 r. Nr 151 poz. 1638.</w:t>
      </w:r>
    </w:p>
    <w:p>
      <w:pPr>
        <w:pStyle w:val="ListParagraph"/>
        <w:numPr>
          <w:ilvl w:val="0"/>
          <w:numId w:val="11"/>
        </w:numPr>
        <w:spacing w:before="0" w:after="160"/>
        <w:ind w:left="993" w:hanging="360"/>
        <w:contextualSpacing/>
        <w:jc w:val="both"/>
        <w:rPr>
          <w:rFonts w:eastAsia="Calibri"/>
        </w:rPr>
      </w:pPr>
      <w:r>
        <w:rPr>
          <w:rFonts w:eastAsia="Calibri"/>
        </w:rPr>
        <w:t>Miejscowy plan zagospodarowania przestrzennego dla gminy Mokrsko w zakresie trasy gazociągu wysokiego ciśnienia wraz z towarzyszącą infrastrukturą oraz przewodami osłonowymi dla kabli do transmisji danych, - uchwała Nr L/284/10 Rady Gminy Mokrsko z dnia 4 października 2010 r. w sprawie uchwalenia miejscowego plan zagospodarowania przestrzennego dla Gminy Mokrsko w zakresie trasy gazociągu wysokiego ciśnienia wraz z towarzyszącą infrastrukturą oraz przewodami osłonowymi dla kabli do transmisji danych opublikowana w Dzienniku Urzędowym Województwa Łódzkiego z dnia 4 grudnia 2010 r. Nr 346 poz. 3060.</w:t>
      </w:r>
    </w:p>
    <w:p>
      <w:pPr>
        <w:pStyle w:val="ListParagraph"/>
        <w:numPr>
          <w:ilvl w:val="0"/>
          <w:numId w:val="11"/>
        </w:numPr>
        <w:spacing w:before="0" w:after="160"/>
        <w:ind w:left="993" w:hanging="360"/>
        <w:contextualSpacing/>
        <w:jc w:val="both"/>
        <w:rPr>
          <w:rFonts w:eastAsia="Calibri"/>
        </w:rPr>
      </w:pPr>
      <w:r>
        <w:rPr>
          <w:rFonts w:eastAsia="Calibri"/>
        </w:rPr>
        <w:t>Zmiana miejscowego planu zagospodarowania przestrzennego gminy Mokrsko – uchwała Nr XLVIII/253/18 Rady Gminy Mokrsko z dnia 7 września 2018 r., opublikowana  w Dzienniku Urzędowym Województwa Łódzkiego z dnia 28 września 2018 r. poz. 4927.</w:t>
      </w:r>
    </w:p>
    <w:p>
      <w:pPr>
        <w:pStyle w:val="ListParagraph"/>
        <w:numPr>
          <w:ilvl w:val="0"/>
          <w:numId w:val="11"/>
        </w:numPr>
        <w:spacing w:before="0" w:after="160"/>
        <w:ind w:left="993" w:hanging="360"/>
        <w:contextualSpacing/>
        <w:jc w:val="both"/>
        <w:rPr>
          <w:rFonts w:eastAsia="Calibri"/>
        </w:rPr>
      </w:pPr>
      <w:r>
        <w:rPr>
          <w:rFonts w:eastAsia="Calibri"/>
        </w:rPr>
        <w:t>Miejscowy plan zagospodarowania przestrzennego terenów położonych w gminie Mokrsko – uchwała Nr XV/89/20 Rady Gminy Mokrsko z dnia 28 stycznia 2020 r., opublikowana  w Dzienniku Urzędowym Województwa Łódzkiego z dnia 7 kwietnia 2020 r. poz. 2193.Wieloletniego planu rozwoju i modernizacji urządzeń wodociągowych i urządzeń kanalizacyjnych,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eastAsia="Calibri"/>
        </w:rPr>
      </w:pPr>
      <w:r>
        <w:rPr>
          <w:rFonts w:eastAsia="Calibri"/>
        </w:rPr>
        <w:t>Program Funkcjonalno-Użytkowy Ochrony Wód I Neutralizacji Ścieków w Gminie Mokrsko – sierpień 2007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Wójt Gminy Mokrsko pismem znak: GKiNOiR.271.7.2020.TK.4  z dnia 23.11.2020 r. złożył wniosek o uzgodnienie granic i obszaru aglomeracji Mokrsko, poprzez włączenie miejscowości nieskanalizowanych i planowanych do skanalizowania lub obszarów obecnie skanalizowanych, i ujętych w obecnej aglomeracji przez Państwowe Gospodarstwo Wodne Wody Polskie Dyrektora Zarządu Zlewni w Sieradzu oraz pismem znak: GKiNOiR.271.7.2020.TK.5 z dnia 23.11.2020 r zwrócił się o uzgodnienie tej kwestii przez Regionalną Dyrekcję Ochrony Środowiska w Łodzi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Wielkość aglomeracji przekracza 2000 RLM, a zatem spełnia wymogi określone w art. 86 ust. 1 ustawy Prawo wodne.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Wszystkie wymienione w uchwale nazwy miejscowości są zgodne z wykazem urzędowych nazw miejscowości.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Niniejsza uchwała ustala granice i obszar aglomeracji.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Uchwała nie narusza obowiązków gminy w zakresie odprowadzania i oczyszczania ścieków komunalnych wynikających z przepisów o samorządzie gminnym.</w:t>
      </w:r>
    </w:p>
    <w:p>
      <w:pPr>
        <w:pStyle w:val="Normal"/>
        <w:spacing w:before="0" w:after="160"/>
        <w:ind w:firstLine="851"/>
        <w:jc w:val="both"/>
        <w:rPr>
          <w:rFonts w:eastAsia="Calibri"/>
        </w:rPr>
      </w:pPr>
      <w:r>
        <w:rPr>
          <w:rFonts w:eastAsia="Calibri"/>
        </w:rPr>
        <w:t>Rada Gminy Mokrsko podejmuje niniejszą uchwałę po uzgodnieniu z Państwowym Gospodarstwem Wodnym Wody Polskie Dyrektorem Zarządu Zlewni w Sieradzu oraz Regionalną Dyrekcją Ochrony Środowiska w Łodzi.</w:t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160"/>
        <w:jc w:val="right"/>
        <w:rPr>
          <w:rFonts w:eastAsia="Calibri"/>
        </w:rPr>
      </w:pPr>
      <w:r>
        <w:rPr>
          <w:rFonts w:eastAsia="Calibri"/>
        </w:rPr>
        <w:t>PROJEKT z dnia ……….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 xml:space="preserve">ZAŁĄCZNIK NR 1 DO UCHWAŁY 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Nr …………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RADY GMINY MOKSKO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z dnia ………… 2020 r.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  <w:t>w sprawie wyznaczenia obszaru i granic Aglomeracji Mokrsko</w:t>
      </w:r>
    </w:p>
    <w:p>
      <w:pPr>
        <w:pStyle w:val="Normal"/>
        <w:spacing w:before="0" w:after="160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Informacja o długości i rodzaju istniejącej sieci kanalizacyjnej, liczba stałych mieszkańców aglomeracji, liczba osób czasowo przebywających w aglomeracji.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długość istniejących sieci kanalizacyjnych wynosiła w 2019r  20,6 km, w tym:</w:t>
      </w:r>
    </w:p>
    <w:p>
      <w:pPr>
        <w:pStyle w:val="Normal"/>
        <w:numPr>
          <w:ilvl w:val="0"/>
          <w:numId w:val="3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20,6 km sieci grawitacyjnej,</w:t>
      </w:r>
    </w:p>
    <w:p>
      <w:pPr>
        <w:pStyle w:val="Normal"/>
        <w:numPr>
          <w:ilvl w:val="0"/>
          <w:numId w:val="3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0 km sieci tłocznej.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Sieci te obsługiwały 1772 mieszkańców, w tym:</w:t>
      </w:r>
    </w:p>
    <w:p>
      <w:pPr>
        <w:pStyle w:val="Normal"/>
        <w:numPr>
          <w:ilvl w:val="0"/>
          <w:numId w:val="4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1714 stałych mieszkańców aglomeracji,</w:t>
      </w:r>
    </w:p>
    <w:p>
      <w:pPr>
        <w:pStyle w:val="Normal"/>
        <w:numPr>
          <w:ilvl w:val="0"/>
          <w:numId w:val="4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</w:t>
      </w:r>
      <w:r>
        <w:rPr>
          <w:rFonts w:eastAsia="Calibri"/>
          <w:color w:val="000000" w:themeColor="text1"/>
        </w:rPr>
        <w:t>58 osób czasowo przebywających w aglomeracji.</w:t>
      </w:r>
    </w:p>
    <w:p>
      <w:pPr>
        <w:pStyle w:val="Normal"/>
        <w:spacing w:before="0" w:after="160"/>
        <w:ind w:left="207" w:hang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zamieszkuje 0 osób korzystających z indywidualnych systemów oczyszczania ścieków zapewniających taki sam poziom ochrony środowiska jak w przypadku systemów kanalizacji zbiorczej.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Informacja o przemyśle obsługiwanym lub planowanym do obsługi przez sieć kanalizacyjną.</w:t>
      </w:r>
    </w:p>
    <w:p>
      <w:pPr>
        <w:pStyle w:val="Normal"/>
        <w:spacing w:before="0" w:after="160"/>
        <w:ind w:left="1080" w:hanging="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</w:r>
    </w:p>
    <w:p>
      <w:pPr>
        <w:pStyle w:val="Normal"/>
        <w:numPr>
          <w:ilvl w:val="0"/>
          <w:numId w:val="5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Mokrsko siecią kanalizacyjną obsługiwane są następujące sektory przemysłowe:</w:t>
      </w:r>
    </w:p>
    <w:p>
      <w:pPr>
        <w:pStyle w:val="ListParagraph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chów, hodowla zwierząt gospodarskich, produkcja lub przetwórstwo mięsa </w:t>
      </w:r>
      <w:r>
        <w:rPr>
          <w:rFonts w:eastAsia="Calibri"/>
          <w:b/>
          <w:bCs/>
          <w:color w:val="000000" w:themeColor="text1"/>
        </w:rPr>
        <w:t>350 RLM i ok. 22m</w:t>
      </w:r>
      <w:r>
        <w:rPr>
          <w:rFonts w:eastAsia="Calibri"/>
          <w:b/>
          <w:bCs/>
          <w:color w:val="000000" w:themeColor="text1"/>
          <w:vertAlign w:val="superscript"/>
        </w:rPr>
        <w:t>3</w:t>
      </w:r>
      <w:r>
        <w:rPr>
          <w:rFonts w:eastAsia="Calibri"/>
          <w:b/>
          <w:bCs/>
          <w:color w:val="000000" w:themeColor="text1"/>
        </w:rPr>
        <w:t>/d.</w:t>
      </w:r>
    </w:p>
    <w:p>
      <w:pPr>
        <w:pStyle w:val="Normal"/>
        <w:spacing w:before="0" w:after="16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numPr>
          <w:ilvl w:val="0"/>
          <w:numId w:val="5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Mokrsko nie planuje się obsługiwania siecią kanalizacyjną innych sektorów przemysłowych po jej wybudowaniu.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Informacja o planowanych do budowy sieciach kanalizacyjnych oraz wskaźnikach koncentracji.</w:t>
      </w:r>
    </w:p>
    <w:p>
      <w:pPr>
        <w:pStyle w:val="Normal"/>
        <w:spacing w:before="0" w:after="160"/>
        <w:jc w:val="both"/>
        <w:rPr>
          <w:rFonts w:eastAsia="Calibri"/>
          <w:i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i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>W przypadku gdy planowana jest kanalizacja należy podać szczegóły inwestycji.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Mokrsko planuje się do 2027 r budowę nowej sieci kanalizacyjnej, tym samym wskaźnik koncentracji wyliczano:</w:t>
      </w:r>
    </w:p>
    <w:p>
      <w:pPr>
        <w:pStyle w:val="NoSpacing"/>
        <w:spacing w:lineRule="auto" w:line="276"/>
        <w:rPr>
          <w:b/>
          <w:b/>
          <w:color w:val="000000" w:themeColor="text1"/>
        </w:rPr>
      </w:pPr>
      <w:r>
        <w:rPr>
          <w:b/>
          <w:color w:val="000000" w:themeColor="text1"/>
        </w:rPr>
        <w:t>Mokrsko do 2023 r.</w:t>
      </w:r>
    </w:p>
    <w:p>
      <w:pPr>
        <w:pStyle w:val="ListParagraph"/>
        <w:numPr>
          <w:ilvl w:val="0"/>
          <w:numId w:val="13"/>
        </w:numPr>
        <w:spacing w:before="0" w:after="160"/>
        <w:ind w:left="709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Mokrsko (Korea) kanalizacja grawitacyjna – 2106 m;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Mokrsko odcinek tłoczny przesyłowy 1869 ale 1560 m będzie we wspólnym wykopie. Poza wspólnymi wykopami pozostanie 309 m. Łącznie będzie wykonanych 2706 m kanalizacji branej do wyliczenia wskaźnika koncentracji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planowana liczba mieszkańców do włączenia 257 osób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wskaźnik koncentracji dla tej zlewni 122 osób / 1 km sieci </w:t>
      </w:r>
    </w:p>
    <w:p>
      <w:pPr>
        <w:pStyle w:val="ListParagraph"/>
        <w:spacing w:before="0" w:after="16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</w:r>
    </w:p>
    <w:p>
      <w:pPr>
        <w:pStyle w:val="ListParagraph"/>
        <w:spacing w:before="0" w:after="160"/>
        <w:ind w:left="0" w:hanging="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Krzyworzeka do 2022 r.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Krzyworzeka kanalizacja grawitacyjna – 1739 m 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Krzyworzeka odcinek tłoczny przesyłowy 1449, ale 1374 mb będą we wspólnym wykopie z odcinkami grawitacyjnymi. Poza wspólnymi wykopami pozostanie 75 mb. Łącznie będzie wykonanych 1,814 km sieci branej do wyliczenia wskaźnika. 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planowana liczba mieszkańców do włączenia 227 osób</w:t>
      </w:r>
    </w:p>
    <w:p>
      <w:pPr>
        <w:pStyle w:val="ListParagraph"/>
        <w:numPr>
          <w:ilvl w:val="0"/>
          <w:numId w:val="12"/>
        </w:numPr>
        <w:spacing w:before="0" w:after="16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wskaźnik koncentracji dla tej zlewni 125 osób / 1 km sieci 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Razem:</w:t>
      </w:r>
    </w:p>
    <w:p>
      <w:pPr>
        <w:pStyle w:val="NoSpacing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kanalizacja grawitacyjna – 3,845 km</w:t>
      </w:r>
    </w:p>
    <w:p>
      <w:pPr>
        <w:pStyle w:val="NoSpacing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odcinek tłoczny przesyłowy – 3,318 km we wspólnym wykopie, a poza wspólnymi wykopami – 0,384 km</w:t>
      </w:r>
    </w:p>
    <w:p>
      <w:pPr>
        <w:pStyle w:val="NoSpacing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planowana liczba mieszkańców – 484 osoby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60"/>
        <w:ind w:left="567" w:hanging="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Wskaźnik koncentracji dla całej planowanej do wykonania sieci kanalizacyjnej:</w:t>
      </w:r>
    </w:p>
    <w:p>
      <w:pPr>
        <w:pStyle w:val="Normal"/>
        <w:spacing w:before="0" w:after="160"/>
        <w:ind w:left="567" w:hanging="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Mieszkańcy </w:t>
        <w:tab/>
        <w:tab/>
        <w:tab/>
        <w:tab/>
        <w:t>: 484 osób</w:t>
      </w:r>
    </w:p>
    <w:p>
      <w:pPr>
        <w:pStyle w:val="Normal"/>
        <w:spacing w:before="0" w:after="160"/>
        <w:ind w:left="567" w:hanging="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Długość kanalizacji bez przyłączy </w:t>
        <w:tab/>
        <w:t>: 3,845 km</w:t>
      </w:r>
    </w:p>
    <w:p>
      <w:pPr>
        <w:pStyle w:val="Normal"/>
        <w:spacing w:before="0" w:after="160"/>
        <w:ind w:left="567" w:hanging="0"/>
        <w:contextualSpacing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Obliczony wskaźnik koncentracji </w:t>
        <w:tab/>
        <w:t>: 125,88 m-ców / 1 km nowobudowanej sieci</w:t>
        <w:tab/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Informacja o istniejących i planowanych do budowy oczyszczalniach ścieków. 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Lokalizacja oczyszczalni ścieków: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Miejscowość</w:t>
        <w:tab/>
        <w:tab/>
        <w:tab/>
        <w:t>: Mokrsko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Gmina</w:t>
        <w:tab/>
        <w:tab/>
        <w:tab/>
        <w:tab/>
        <w:t>: Mokrsko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Powiat</w:t>
        <w:tab/>
        <w:tab/>
        <w:tab/>
        <w:tab/>
        <w:t>: Wieluń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Województwo</w:t>
        <w:tab/>
        <w:tab/>
        <w:tab/>
        <w:t>: łódzkie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Adres</w:t>
        <w:tab/>
        <w:tab/>
        <w:tab/>
        <w:tab/>
        <w:t>:</w:t>
      </w:r>
      <w:r>
        <w:rPr>
          <w:b/>
          <w:bCs/>
          <w:color w:val="000000" w:themeColor="text1"/>
          <w:sz w:val="23"/>
          <w:szCs w:val="23"/>
        </w:rPr>
        <w:t xml:space="preserve"> Mokrsko 200b, 98-345 Mokrsko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Email</w:t>
        <w:tab/>
        <w:tab/>
        <w:tab/>
        <w:tab/>
        <w:t>:</w:t>
      </w:r>
      <w:r>
        <w:rPr>
          <w:color w:val="000000" w:themeColor="text1"/>
        </w:rPr>
        <w:t xml:space="preserve"> </w:t>
      </w:r>
      <w:hyperlink r:id="rId2">
        <w:r>
          <w:rPr>
            <w:rStyle w:val="Czeinternetowe"/>
            <w:rFonts w:eastAsia="Calibri"/>
            <w:color w:val="000000" w:themeColor="text1"/>
          </w:rPr>
          <w:t>tkik@mokrsko.pl</w:t>
        </w:r>
      </w:hyperlink>
      <w:r>
        <w:rPr>
          <w:rFonts w:eastAsia="Calibri"/>
          <w:color w:val="000000" w:themeColor="text1"/>
        </w:rPr>
        <w:t xml:space="preserve"> </w:t>
      </w:r>
    </w:p>
    <w:p>
      <w:pPr>
        <w:pStyle w:val="Normal"/>
        <w:spacing w:before="0"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Telefon</w:t>
        <w:tab/>
        <w:tab/>
        <w:tab/>
        <w:t>: 43 886 32 77 w. 22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Odbiornikiem ścieków oczyszczonych jest rów melioracyjny R-3C w km 6 + 28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Współrzędne geograficzne wylotu: N 510 10’36,15” ; E 180 27’45,62”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Oczyszczalnią ścieków zarządza Gmina Mokrsko </w:t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System gospodarki ściekowej.</w:t>
      </w:r>
    </w:p>
    <w:p>
      <w:pPr>
        <w:pStyle w:val="Normal"/>
        <w:spacing w:before="0" w:after="160"/>
        <w:ind w:left="1080" w:hanging="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</w:r>
    </w:p>
    <w:p>
      <w:pPr>
        <w:pStyle w:val="Normal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Średnia dobowa ilość ścieków komunalnych powstających na terenie aglomeracji.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A. Średnio dobowa ilość ścieków komunalnych powstających na terenie aglomeracji [m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 xml:space="preserve">/d] </w:t>
      </w:r>
      <w:r>
        <w:rPr>
          <w:rFonts w:eastAsia="Calibri"/>
          <w:color w:val="000000" w:themeColor="text1"/>
          <w:u w:val="single"/>
        </w:rPr>
        <w:t>obowiązującej do chwili obecnej</w:t>
      </w:r>
      <w:r>
        <w:rPr>
          <w:rFonts w:eastAsia="Calibri"/>
          <w:color w:val="000000" w:themeColor="text1"/>
        </w:rPr>
        <w:t xml:space="preserve">: 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siecią kanalizacyjną od 1772 osób </w:t>
      </w:r>
      <w:r>
        <w:rPr>
          <w:rFonts w:eastAsia="Calibri"/>
          <w:b/>
          <w:bCs/>
          <w:color w:val="000000" w:themeColor="text1"/>
        </w:rPr>
        <w:t>282,6 m</w:t>
      </w:r>
      <w:r>
        <w:rPr>
          <w:rFonts w:eastAsia="Calibri"/>
          <w:b/>
          <w:bCs/>
          <w:color w:val="000000" w:themeColor="text1"/>
          <w:vertAlign w:val="superscript"/>
        </w:rPr>
        <w:t>3</w:t>
      </w:r>
      <w:r>
        <w:rPr>
          <w:rFonts w:eastAsia="Calibri"/>
          <w:b/>
          <w:bCs/>
          <w:color w:val="000000" w:themeColor="text1"/>
        </w:rPr>
        <w:t>/d</w:t>
      </w:r>
      <w:r>
        <w:rPr>
          <w:rFonts w:eastAsia="Calibri"/>
          <w:color w:val="000000" w:themeColor="text1"/>
        </w:rPr>
        <w:t xml:space="preserve">, 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ścieki dowożone z terenu aglomeracji </w:t>
      </w:r>
      <w:r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  <w:b/>
          <w:bCs/>
          <w:color w:val="000000" w:themeColor="text1"/>
        </w:rPr>
        <w:t>m</w:t>
      </w:r>
      <w:r>
        <w:rPr>
          <w:rFonts w:eastAsia="Calibri"/>
          <w:b/>
          <w:bCs/>
          <w:color w:val="000000" w:themeColor="text1"/>
          <w:vertAlign w:val="superscript"/>
        </w:rPr>
        <w:t>3</w:t>
      </w:r>
      <w:r>
        <w:rPr>
          <w:rFonts w:eastAsia="Calibri"/>
          <w:b/>
          <w:bCs/>
          <w:color w:val="000000" w:themeColor="text1"/>
        </w:rPr>
        <w:t>/d</w:t>
      </w:r>
      <w:r>
        <w:rPr>
          <w:rFonts w:eastAsia="Calibri"/>
          <w:color w:val="000000" w:themeColor="text1"/>
        </w:rPr>
        <w:t>,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ścieki przemysłowe siecią kanalizacyjną </w:t>
      </w:r>
      <w:r>
        <w:rPr>
          <w:rFonts w:eastAsia="Calibri"/>
          <w:b/>
          <w:bCs/>
          <w:color w:val="000000" w:themeColor="text1"/>
        </w:rPr>
        <w:t>22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  <w:b/>
          <w:bCs/>
          <w:color w:val="000000" w:themeColor="text1"/>
        </w:rPr>
        <w:t>m</w:t>
      </w:r>
      <w:r>
        <w:rPr>
          <w:rFonts w:eastAsia="Calibri"/>
          <w:b/>
          <w:bCs/>
          <w:color w:val="000000" w:themeColor="text1"/>
          <w:vertAlign w:val="superscript"/>
        </w:rPr>
        <w:t>3</w:t>
      </w:r>
      <w:r>
        <w:rPr>
          <w:rFonts w:eastAsia="Calibri"/>
          <w:b/>
          <w:bCs/>
          <w:color w:val="000000" w:themeColor="text1"/>
        </w:rPr>
        <w:t>/d.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Razem 306,6 m</w:t>
      </w:r>
      <w:r>
        <w:rPr>
          <w:rFonts w:eastAsia="Calibri"/>
          <w:b/>
          <w:color w:val="000000" w:themeColor="text1"/>
          <w:vertAlign w:val="superscript"/>
        </w:rPr>
        <w:t>3</w:t>
      </w:r>
      <w:r>
        <w:rPr>
          <w:rFonts w:eastAsia="Calibri"/>
          <w:b/>
          <w:color w:val="000000" w:themeColor="text1"/>
        </w:rPr>
        <w:t>/d</w:t>
      </w:r>
    </w:p>
    <w:p>
      <w:pPr>
        <w:pStyle w:val="Normal"/>
        <w:spacing w:before="0" w:after="160"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B. Średnio dobowa ilość ścieków komunalnych powstających na terenie wyznaczonej aglomeracji [m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 xml:space="preserve">/d]: </w:t>
      </w:r>
    </w:p>
    <w:p>
      <w:pPr>
        <w:pStyle w:val="ListParagraph"/>
        <w:numPr>
          <w:ilvl w:val="0"/>
          <w:numId w:val="15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siecią kanalizacji od 1772 osób </w:t>
      </w:r>
      <w:r>
        <w:rPr>
          <w:rFonts w:eastAsia="Calibri"/>
          <w:b/>
          <w:color w:val="000000" w:themeColor="text1"/>
        </w:rPr>
        <w:t>282,6 m</w:t>
      </w:r>
      <w:r>
        <w:rPr>
          <w:rFonts w:eastAsia="Calibri"/>
          <w:b/>
          <w:color w:val="000000" w:themeColor="text1"/>
          <w:vertAlign w:val="superscript"/>
        </w:rPr>
        <w:t>3</w:t>
      </w:r>
      <w:r>
        <w:rPr>
          <w:rFonts w:eastAsia="Calibri"/>
          <w:b/>
          <w:color w:val="000000" w:themeColor="text1"/>
        </w:rPr>
        <w:t>/d,</w:t>
      </w:r>
    </w:p>
    <w:p>
      <w:pPr>
        <w:pStyle w:val="ListParagraph"/>
        <w:numPr>
          <w:ilvl w:val="0"/>
          <w:numId w:val="15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siecią kanalizacyjną z terenu nowo wyznaczonej aglomeracji od 484 osób podłączonych do nowo wybudowanej kanalizacji dla wartości 0,08 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 xml:space="preserve">/os/dzień </w:t>
      </w:r>
      <w:r>
        <w:rPr>
          <w:rFonts w:eastAsia="Calibri"/>
          <w:b/>
          <w:bCs/>
          <w:color w:val="000000" w:themeColor="text1"/>
        </w:rPr>
        <w:t xml:space="preserve">38,72 </w:t>
      </w:r>
      <w:r>
        <w:rPr>
          <w:rFonts w:eastAsia="Calibri"/>
          <w:b/>
          <w:color w:val="000000" w:themeColor="text1"/>
        </w:rPr>
        <w:t>m</w:t>
      </w:r>
      <w:r>
        <w:rPr>
          <w:rFonts w:eastAsia="Calibri"/>
          <w:b/>
          <w:color w:val="000000" w:themeColor="text1"/>
          <w:vertAlign w:val="superscript"/>
        </w:rPr>
        <w:t>3</w:t>
      </w:r>
      <w:r>
        <w:rPr>
          <w:rFonts w:eastAsia="Calibri"/>
          <w:b/>
          <w:color w:val="000000" w:themeColor="text1"/>
        </w:rPr>
        <w:t>/d,</w:t>
      </w:r>
    </w:p>
    <w:p>
      <w:pPr>
        <w:pStyle w:val="ListParagraph"/>
        <w:numPr>
          <w:ilvl w:val="0"/>
          <w:numId w:val="15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ścieki dowożone z terenu aglomeracji </w:t>
      </w:r>
      <w:r>
        <w:rPr>
          <w:rFonts w:eastAsia="Calibri"/>
          <w:b/>
          <w:bCs/>
          <w:color w:val="000000" w:themeColor="text1"/>
        </w:rPr>
        <w:t>2 m</w:t>
      </w:r>
      <w:r>
        <w:rPr>
          <w:rFonts w:eastAsia="Calibri"/>
          <w:b/>
          <w:bCs/>
          <w:color w:val="000000" w:themeColor="text1"/>
          <w:vertAlign w:val="superscript"/>
        </w:rPr>
        <w:t>3</w:t>
      </w:r>
      <w:r>
        <w:rPr>
          <w:rFonts w:eastAsia="Calibri"/>
          <w:b/>
          <w:bCs/>
          <w:color w:val="000000" w:themeColor="text1"/>
        </w:rPr>
        <w:t>/d</w:t>
      </w:r>
      <w:r>
        <w:rPr>
          <w:rFonts w:eastAsia="Calibri"/>
          <w:color w:val="000000" w:themeColor="text1"/>
        </w:rPr>
        <w:t>,</w:t>
      </w:r>
    </w:p>
    <w:p>
      <w:pPr>
        <w:pStyle w:val="ListParagraph"/>
        <w:numPr>
          <w:ilvl w:val="0"/>
          <w:numId w:val="15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ścieki przemysłowe siecią kanalizacyjną </w:t>
      </w:r>
      <w:r>
        <w:rPr>
          <w:rFonts w:eastAsia="Calibri"/>
          <w:b/>
          <w:color w:val="000000" w:themeColor="text1"/>
        </w:rPr>
        <w:t>22 m</w:t>
      </w:r>
      <w:r>
        <w:rPr>
          <w:rFonts w:eastAsia="Calibri"/>
          <w:b/>
          <w:color w:val="000000" w:themeColor="text1"/>
          <w:vertAlign w:val="superscript"/>
        </w:rPr>
        <w:t>3</w:t>
      </w:r>
      <w:r>
        <w:rPr>
          <w:rFonts w:eastAsia="Calibri"/>
          <w:b/>
          <w:color w:val="000000" w:themeColor="text1"/>
        </w:rPr>
        <w:t>/d</w:t>
      </w:r>
      <w:r>
        <w:rPr>
          <w:rFonts w:eastAsia="Calibri"/>
          <w:color w:val="000000" w:themeColor="text1"/>
        </w:rPr>
        <w:t>.</w:t>
      </w:r>
    </w:p>
    <w:p>
      <w:pPr>
        <w:pStyle w:val="Normal"/>
        <w:spacing w:before="0" w:after="160"/>
        <w:ind w:left="360" w:hang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Razem 345,32 m</w:t>
      </w:r>
      <w:r>
        <w:rPr>
          <w:rFonts w:eastAsia="Calibri"/>
          <w:b/>
          <w:color w:val="000000" w:themeColor="text1"/>
          <w:vertAlign w:val="superscript"/>
        </w:rPr>
        <w:t>3</w:t>
      </w:r>
      <w:r>
        <w:rPr>
          <w:rFonts w:eastAsia="Calibri"/>
          <w:b/>
          <w:color w:val="000000" w:themeColor="text1"/>
        </w:rPr>
        <w:t>/d</w:t>
      </w:r>
    </w:p>
    <w:p>
      <w:pPr>
        <w:pStyle w:val="Normal"/>
        <w:spacing w:before="0" w:after="160"/>
        <w:jc w:val="both"/>
        <w:rPr>
          <w:rFonts w:eastAsia="Calibri"/>
          <w:b/>
          <w:b/>
          <w:color w:val="000000" w:themeColor="text1"/>
        </w:rPr>
      </w:pPr>
      <w:r>
        <w:rPr>
          <w:rFonts w:eastAsia="Calibri"/>
          <w:b/>
          <w:color w:val="000000" w:themeColor="text1"/>
        </w:rPr>
      </w:r>
    </w:p>
    <w:p>
      <w:pPr>
        <w:pStyle w:val="Normal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Skład jakościowy ścieków powstających na terenie aglomeracji.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  <w:u w:val="single"/>
        </w:rPr>
      </w:pPr>
      <w:r>
        <w:rPr>
          <w:rFonts w:eastAsia="Calibri"/>
          <w:color w:val="000000" w:themeColor="text1"/>
          <w:u w:val="single"/>
        </w:rPr>
        <w:t>Skład jakościowy ścieków surowych (dotyczy wszystkich ścieków dopływających i dowożonych):</w:t>
      </w:r>
    </w:p>
    <w:p>
      <w:pPr>
        <w:pStyle w:val="Normal"/>
        <w:numPr>
          <w:ilvl w:val="0"/>
          <w:numId w:val="7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BZT5 [mgO</w:t>
      </w:r>
      <w:r>
        <w:rPr>
          <w:rFonts w:eastAsia="Calibri"/>
          <w:color w:val="000000" w:themeColor="text1"/>
          <w:vertAlign w:val="subscript"/>
        </w:rPr>
        <w:t>2</w:t>
      </w:r>
      <w:r>
        <w:rPr>
          <w:rFonts w:eastAsia="Calibri"/>
          <w:color w:val="000000" w:themeColor="text1"/>
        </w:rPr>
        <w:t xml:space="preserve">/l] </w:t>
        <w:tab/>
        <w:tab/>
        <w:tab/>
        <w:t>- 450</w:t>
      </w:r>
    </w:p>
    <w:p>
      <w:pPr>
        <w:pStyle w:val="Normal"/>
        <w:numPr>
          <w:ilvl w:val="0"/>
          <w:numId w:val="7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ChZT</w:t>
        <w:softHyphen/>
      </w:r>
      <w:r>
        <w:rPr>
          <w:rFonts w:eastAsia="Calibri"/>
          <w:color w:val="000000" w:themeColor="text1"/>
          <w:vertAlign w:val="subscript"/>
        </w:rPr>
        <w:t xml:space="preserve">Chr </w:t>
      </w:r>
      <w:r>
        <w:rPr>
          <w:rFonts w:eastAsia="Calibri"/>
          <w:color w:val="000000" w:themeColor="text1"/>
        </w:rPr>
        <w:t>[mgO</w:t>
      </w:r>
      <w:r>
        <w:rPr>
          <w:rFonts w:eastAsia="Calibri"/>
          <w:color w:val="000000" w:themeColor="text1"/>
          <w:vertAlign w:val="subscript"/>
        </w:rPr>
        <w:t>2</w:t>
      </w:r>
      <w:r>
        <w:rPr>
          <w:rFonts w:eastAsia="Calibri"/>
          <w:color w:val="000000" w:themeColor="text1"/>
        </w:rPr>
        <w:t xml:space="preserve">/l]  </w:t>
        <w:tab/>
        <w:tab/>
        <w:t>- 950</w:t>
      </w:r>
    </w:p>
    <w:p>
      <w:pPr>
        <w:pStyle w:val="Normal"/>
        <w:numPr>
          <w:ilvl w:val="0"/>
          <w:numId w:val="7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Zawiesina ogólna [mg/l] </w:t>
        <w:tab/>
        <w:t>- 350</w:t>
      </w:r>
    </w:p>
    <w:p>
      <w:pPr>
        <w:pStyle w:val="Normal"/>
        <w:numPr>
          <w:ilvl w:val="0"/>
          <w:numId w:val="7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Fosfor ogólny [mgP/l] </w:t>
        <w:tab/>
        <w:tab/>
        <w:t>- nie dotyczy</w:t>
      </w:r>
    </w:p>
    <w:p>
      <w:pPr>
        <w:pStyle w:val="Normal"/>
        <w:numPr>
          <w:ilvl w:val="0"/>
          <w:numId w:val="7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Azot ogólny [mgN/l] </w:t>
        <w:tab/>
        <w:tab/>
        <w:t>– nie dotyczy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  <w:u w:val="single"/>
        </w:rPr>
      </w:pPr>
      <w:r>
        <w:rPr>
          <w:rFonts w:eastAsia="Calibri"/>
          <w:color w:val="000000" w:themeColor="text1"/>
          <w:u w:val="single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  <w:u w:val="single"/>
        </w:rPr>
      </w:pPr>
      <w:r>
        <w:rPr>
          <w:rFonts w:eastAsia="Calibri"/>
          <w:color w:val="000000" w:themeColor="text1"/>
          <w:u w:val="single"/>
        </w:rPr>
        <w:t>Skład jakościowy ścieków oczyszczonych:</w:t>
      </w:r>
    </w:p>
    <w:p>
      <w:pPr>
        <w:pStyle w:val="Normal"/>
        <w:numPr>
          <w:ilvl w:val="0"/>
          <w:numId w:val="8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BZT5 [mgO</w:t>
      </w:r>
      <w:r>
        <w:rPr>
          <w:rFonts w:eastAsia="Calibri"/>
          <w:color w:val="000000" w:themeColor="text1"/>
          <w:vertAlign w:val="subscript"/>
        </w:rPr>
        <w:t>2</w:t>
      </w:r>
      <w:r>
        <w:rPr>
          <w:rFonts w:eastAsia="Calibri"/>
          <w:color w:val="000000" w:themeColor="text1"/>
        </w:rPr>
        <w:t xml:space="preserve">/l] </w:t>
        <w:tab/>
        <w:tab/>
        <w:tab/>
        <w:t>- 25</w:t>
      </w:r>
    </w:p>
    <w:p>
      <w:pPr>
        <w:pStyle w:val="Normal"/>
        <w:numPr>
          <w:ilvl w:val="0"/>
          <w:numId w:val="8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ChZT</w:t>
        <w:softHyphen/>
      </w:r>
      <w:r>
        <w:rPr>
          <w:rFonts w:eastAsia="Calibri"/>
          <w:color w:val="000000" w:themeColor="text1"/>
          <w:vertAlign w:val="subscript"/>
        </w:rPr>
        <w:t xml:space="preserve">Chr </w:t>
      </w:r>
      <w:r>
        <w:rPr>
          <w:rFonts w:eastAsia="Calibri"/>
          <w:color w:val="000000" w:themeColor="text1"/>
        </w:rPr>
        <w:t>[mgO</w:t>
      </w:r>
      <w:r>
        <w:rPr>
          <w:rFonts w:eastAsia="Calibri"/>
          <w:color w:val="000000" w:themeColor="text1"/>
          <w:vertAlign w:val="subscript"/>
        </w:rPr>
        <w:t>2</w:t>
      </w:r>
      <w:r>
        <w:rPr>
          <w:rFonts w:eastAsia="Calibri"/>
          <w:color w:val="000000" w:themeColor="text1"/>
        </w:rPr>
        <w:t xml:space="preserve">/l] </w:t>
        <w:tab/>
        <w:tab/>
        <w:t>- 125</w:t>
      </w:r>
    </w:p>
    <w:p>
      <w:pPr>
        <w:pStyle w:val="Normal"/>
        <w:numPr>
          <w:ilvl w:val="0"/>
          <w:numId w:val="8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Zawiesina ogólna [mg/l] </w:t>
        <w:tab/>
        <w:t>- 35</w:t>
      </w:r>
    </w:p>
    <w:p>
      <w:pPr>
        <w:pStyle w:val="Normal"/>
        <w:numPr>
          <w:ilvl w:val="0"/>
          <w:numId w:val="8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Fosfor ogólny [mgP/l] </w:t>
        <w:tab/>
        <w:tab/>
        <w:t>– nie dotyczy</w:t>
      </w:r>
    </w:p>
    <w:p>
      <w:pPr>
        <w:pStyle w:val="Normal"/>
        <w:numPr>
          <w:ilvl w:val="0"/>
          <w:numId w:val="8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Azot ogólny [mgN/l] </w:t>
        <w:tab/>
        <w:tab/>
        <w:t>– nie dotyczy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Ścieki oczyszczone spełniają wymogi określone w pozwoleniu wodno-prawnym nr L.dz. RS. 6341.11.2013 z dnia 29 kwietnia 2013 ważne do 29 kwietnia 2023 roku wydanego przez Starostę Wieluńskiego.</w:t>
      </w:r>
    </w:p>
    <w:p>
      <w:pPr>
        <w:pStyle w:val="Normal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Przepustowość istniejącej oczyszczalni ścieków.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Przepustowość średnio dobowa: 299 [m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>/d] w 2019 r.  pozwolenie 522 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>/d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Przepustowość maksymalna dobowa: 670 [m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>/d]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Przepustowość hydrauliczna oczyszczalni jest wystarczająca.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Planowana jest rozbudowa i modernizacja istniejącej oczyszczalni ścieków z uwagi na zwiększony ładunek dopływających ścieków, po rozbudowie kanalizacji sanitarnej.</w:t>
      </w:r>
    </w:p>
    <w:p>
      <w:pPr>
        <w:pStyle w:val="Normal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Ilość i skład jakościowy ścieków przemysłowych odprowadzanych przez zakłady do systemu kanalizacji zbiorczej.</w:t>
      </w:r>
    </w:p>
    <w:p>
      <w:pPr>
        <w:pStyle w:val="Normal"/>
        <w:spacing w:before="0" w:after="16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Średnio dobowa ilość ścieków przemysłowych powstających na terenie aglomeracji: 22 [m</w:t>
      </w:r>
      <w:r>
        <w:rPr>
          <w:rFonts w:eastAsia="Calibri"/>
          <w:color w:val="000000" w:themeColor="text1"/>
          <w:vertAlign w:val="superscript"/>
        </w:rPr>
        <w:t>3</w:t>
      </w:r>
      <w:r>
        <w:rPr>
          <w:rFonts w:eastAsia="Calibri"/>
          <w:color w:val="000000" w:themeColor="text1"/>
        </w:rPr>
        <w:t>/d]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  <w:u w:val="single"/>
        </w:rPr>
      </w:pPr>
      <w:r>
        <w:rPr>
          <w:rFonts w:eastAsia="Calibri"/>
          <w:color w:val="000000" w:themeColor="text1"/>
          <w:u w:val="single"/>
        </w:rPr>
        <w:t>Skład jakościowy ścieków przemysłowych:</w:t>
      </w:r>
    </w:p>
    <w:p>
      <w:pPr>
        <w:pStyle w:val="NoSpacing"/>
        <w:numPr>
          <w:ilvl w:val="0"/>
          <w:numId w:val="14"/>
        </w:numPr>
        <w:spacing w:lineRule="auto" w:line="276"/>
        <w:rPr>
          <w:color w:val="000000" w:themeColor="text1"/>
        </w:rPr>
      </w:pPr>
      <w:r>
        <w:rPr>
          <w:color w:val="000000" w:themeColor="text1"/>
        </w:rPr>
        <w:t xml:space="preserve">BZT5 [mgO2/l] </w:t>
        <w:tab/>
        <w:tab/>
        <w:tab/>
        <w:t>- 450</w:t>
      </w:r>
    </w:p>
    <w:p>
      <w:pPr>
        <w:pStyle w:val="NoSpacing"/>
        <w:numPr>
          <w:ilvl w:val="0"/>
          <w:numId w:val="14"/>
        </w:numPr>
        <w:spacing w:lineRule="auto" w:line="276"/>
        <w:rPr>
          <w:color w:val="000000" w:themeColor="text1"/>
        </w:rPr>
      </w:pPr>
      <w:r>
        <w:rPr>
          <w:color w:val="000000" w:themeColor="text1"/>
        </w:rPr>
        <w:t xml:space="preserve">ChZT¬Chr [mgO2/l]  </w:t>
        <w:tab/>
        <w:tab/>
        <w:t>- 950</w:t>
      </w:r>
    </w:p>
    <w:p>
      <w:pPr>
        <w:pStyle w:val="NoSpacing"/>
        <w:numPr>
          <w:ilvl w:val="0"/>
          <w:numId w:val="14"/>
        </w:numPr>
        <w:spacing w:lineRule="auto" w:line="276"/>
        <w:rPr>
          <w:color w:val="000000" w:themeColor="text1"/>
        </w:rPr>
      </w:pPr>
      <w:r>
        <w:rPr>
          <w:color w:val="000000" w:themeColor="text1"/>
        </w:rPr>
        <w:t xml:space="preserve">Zawiesina ogólna [mg/l] </w:t>
        <w:tab/>
        <w:tab/>
        <w:t>- 350</w:t>
      </w:r>
    </w:p>
    <w:p>
      <w:pPr>
        <w:pStyle w:val="NoSpacing"/>
        <w:numPr>
          <w:ilvl w:val="0"/>
          <w:numId w:val="14"/>
        </w:numPr>
        <w:spacing w:lineRule="auto" w:line="276"/>
        <w:rPr>
          <w:color w:val="000000" w:themeColor="text1"/>
        </w:rPr>
      </w:pPr>
      <w:r>
        <w:rPr>
          <w:color w:val="000000" w:themeColor="text1"/>
        </w:rPr>
        <w:t xml:space="preserve">Fosfor ogólny [mgP/l] </w:t>
        <w:tab/>
        <w:tab/>
        <w:t>- nie dotyczy</w:t>
      </w:r>
    </w:p>
    <w:p>
      <w:pPr>
        <w:pStyle w:val="NoSpacing"/>
        <w:numPr>
          <w:ilvl w:val="0"/>
          <w:numId w:val="14"/>
        </w:numPr>
        <w:spacing w:lineRule="auto" w:line="276"/>
        <w:rPr>
          <w:color w:val="000000" w:themeColor="text1"/>
        </w:rPr>
      </w:pPr>
      <w:r>
        <w:rPr>
          <w:color w:val="000000" w:themeColor="text1"/>
        </w:rPr>
        <w:t xml:space="preserve">Azot ogólny [mgN/l] </w:t>
        <w:tab/>
        <w:tab/>
        <w:t>– nie dotyczy</w:t>
      </w:r>
    </w:p>
    <w:p>
      <w:pPr>
        <w:pStyle w:val="Normal"/>
        <w:spacing w:before="0" w:after="160"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Uzasadnienie określonej RLM aglomeracji.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Równoważna liczba mieszkańców aglomeracji (RLM) </w:t>
      </w:r>
      <w:r>
        <w:rPr>
          <w:rFonts w:eastAsia="Calibri"/>
          <w:b/>
          <w:color w:val="000000" w:themeColor="text1"/>
        </w:rPr>
        <w:t>dla Aglomeracji Mokrsko wynosi 2616 RLM</w:t>
      </w:r>
      <w:r>
        <w:rPr>
          <w:rFonts w:eastAsia="Calibri"/>
          <w:color w:val="000000" w:themeColor="text1"/>
        </w:rPr>
        <w:t xml:space="preserve"> i obejmuje:</w:t>
      </w:r>
    </w:p>
    <w:p>
      <w:pPr>
        <w:pStyle w:val="Normal"/>
        <w:numPr>
          <w:ilvl w:val="0"/>
          <w:numId w:val="9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1772 RLM stałych mieszkańców aglomeracji oraz osoby czasowo przebywające na terenie aglomeracji korzystających z istniejącej sieci kanalizacyjnej,</w:t>
      </w:r>
    </w:p>
    <w:p>
      <w:pPr>
        <w:pStyle w:val="Normal"/>
        <w:numPr>
          <w:ilvl w:val="0"/>
          <w:numId w:val="9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0 RLM pochodzące od mieszkańców korzystających z indywidualnych systemów oczyszczania ścieków,</w:t>
      </w:r>
    </w:p>
    <w:p>
      <w:pPr>
        <w:pStyle w:val="Normal"/>
        <w:numPr>
          <w:ilvl w:val="0"/>
          <w:numId w:val="9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484 RLM pochodzące od mieszkańców korzystających ze zbiorników bezodpływowych (szamb), planowanych do podłączenia po wybudowaniu nowej sieci kanalizacyjnej,</w:t>
      </w:r>
    </w:p>
    <w:p>
      <w:pPr>
        <w:pStyle w:val="Normal"/>
        <w:numPr>
          <w:ilvl w:val="0"/>
          <w:numId w:val="9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350 RLM pochodzących od przemysłu odprowadzającego ścieki do istniejącej sieci kanalizacyjnej – wyliczonych zgodnie z art. 86 ust. 3 pkt. 2 ustawy z dnia 20 lipca 2017 r. – Prawo wodne.</w:t>
      </w:r>
    </w:p>
    <w:p>
      <w:pPr>
        <w:pStyle w:val="Normal"/>
        <w:numPr>
          <w:ilvl w:val="0"/>
          <w:numId w:val="9"/>
        </w:numPr>
        <w:spacing w:before="0" w:after="160"/>
        <w:ind w:left="567" w:hanging="3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 RLM pochodzące od mieszkańców korzystających ze zbiorników bezodpływowych (szamb), nie planowanych do podłączenia po wybudowaniu nowej sieci kanalizacyjnej z uwagi na zabudowę rozproszoną.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numPr>
          <w:ilvl w:val="0"/>
          <w:numId w:val="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Ilość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Nie planuje się zastosowania systemów indywidualnych lub innych rozwiązań lub innych rozwiązań zapewniających taki sam poziom ochrony środowiska jak w przypadku systemów kanalizacji zbiorczej 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numPr>
          <w:ilvl w:val="0"/>
          <w:numId w:val="2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Strefy ochronne ujęć wody, zawierające oznaczenie aktów prawa miejscowego lub decyzji ustanawiających te strefy oraz zakazy, nakazy i ograniczenia obowiązujące na tych terenach.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Na terenie Aglomeracji Mokrsko ustanowiono strefy ochronne ujęć wody:</w:t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Strefa ochronna ujęcia wody Mokrsko obejmująca wyłącznie teren ochrony bezpośredniej ujęcia wody podziemnej zlokalizowanego na działce nr 241 w miejscowości Mokrsko, gmina Mokrsko za pomocą dwóch studni (nr 1 i nr 2), ustanowiona decyzją Dyrektora Zarządu Zlewni Wód Polskich w Kaliszu Państwowego Gospodarstwa Wodnego Wody Polskie znak: PO.ZUZ.2.4100.198.2018.JG z dnia 11.10.2018 r., na której obowiązują następujące zakazy, nakazy i ograniczenia: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1) odprowadzanie wód opadowych lub roztopowych w sposób uniemożliwiający przedostawanie się ich do urządzeń służących do poboru wody; 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2) zagospodarowanie terenu zielenią;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3) odprowadzanie poza granicę terenu bezpośredniej ścieków z urządzeń sanitarnych przeznaczonych do użytku dla osób zatrudnionych przy obsłudze urządzeń służących do poboru wody;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4) ograniczenie wyłącznie do niezbędnych potrzeb przebywania osób niezatrudnionych przy obsłudze urządzeń służących do poboru wody;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6) ogrodzenie teren ochrony bezpośredniej; na ogrodzeniu oraz znakach mają być umieszczone tablice zawierające informacje o ujęciu wody i zakazie wstępu osób nieupoważnionych;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7) obszar terenu ochrony bezpośredniej określony jest w granicach działki nr ewid. 241 obręb Mokrsko, gm. Mokrsko o wymiarach 10 m/10 m licząc od zarysu urządzenia służącego do poboru wody.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Strefa ochronna ujęcia wody Ożarów obejmująca wyłącznie teren ochrony bezpośredniej ujęcia wody podziemnej zlokalizowanego na działce nr 712/1 w miejscowości Ożarów, gmina Mokrsko za pomocą dwóch studni (nr 1 i nr 2), ustanowiona decyzją Dyrektora Zarządu Zlewni Wód Polskich w Kaliszu Państwowego Gospodarstwa Wodnego Wody Polskie znak: PO.ZUZ.2.4100.231.2018.MM z dnia 29.10.2018 r., na której obowiązują następujące zakazy, nakazy i ograniczenia: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1) odprowadzanie wód opadowych lub roztopowych w sposób uniemożliwiający przedostawanie się ich do urządzeń służących do poboru wody; 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2) zagospodarowanie terenu zielenią;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3) odprowadzanie poza granicę terenu bezpośredniej ścieków z urządzeń sanitarnych przeznaczonych do użytku dla osób zatrudnionych przy obsłudze urządzeń służących do poboru wody;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4) ograniczenie wyłącznie do niezbędnych potrzeb przebywania osób niezatrudnionych przy obsłudze urządzeń służących do poboru wody;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6) ogrodzenie teren ochrony bezpośredniej; na ogrodzeniu oraz znakach mają być umieszczone tablice zawierające informacje o ujęciu wody i zakazie wstępu osób nieupoważnionych;</w:t>
      </w:r>
    </w:p>
    <w:p>
      <w:pPr>
        <w:pStyle w:val="Normal"/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7) obszar terenu ochrony bezpośredniej określony jest w granicach działki nr ewid. 712/1 obręb Ożarów, gm. Mokrsko wzdłuż istniejącego ogrodzenia o wymiarach 65/ m / 48,5 m / 67 m / 49,5 m.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numPr>
          <w:ilvl w:val="0"/>
          <w:numId w:val="1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Obszary ochronne zbiorników wód śródlądowych zawierające oznaczenie aktów prawa miejscowego ustanawiających te obszary oraz zakazy, nakazy i ograniczenia obowiązujące na tych obszarach.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Spacing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GZWP nr 325 wyznaczono obszary wymagające najwyższej ochrony (ONO) na terenie gminy i miasta Wieluń oraz obszary wymagające wysokiej ochrony (OWO) – na terenie gmin Biała, Pątnów, </w:t>
      </w:r>
      <w:r>
        <w:rPr>
          <w:b/>
          <w:color w:val="000000" w:themeColor="text1"/>
        </w:rPr>
        <w:t>Mokrsko,</w:t>
      </w:r>
      <w:r>
        <w:rPr>
          <w:color w:val="000000" w:themeColor="text1"/>
        </w:rPr>
        <w:t xml:space="preserve"> Czarnożyły, Wierzchlas i Osjaków. W otworach pomiarowych dokonano badań stanu wód podziemnych. Pełna dokumentacja znajduje się w Łódzkim Urzędzie Wojewódzkim pt. „Dokumentacja określająca warunki hydrogeologiczne dla ustanowienia obszaru ochronnego zbiornika wód podziemnych Częstochowa W – GZWP nr 325” (Kieńć i zespół, 2008) przekazane przez b. urząd wojewódzki z Częstochowy. Główna dokumentacja w Narod. Arch. Geol. PIG-PIB, Warszawa.</w:t>
      </w:r>
    </w:p>
    <w:p>
      <w:pPr>
        <w:pStyle w:val="NoSpacing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W dokumentacji z 2008 r. uściślono granice zbiornika na podstawie szczegółowej analizy istniejących materiałów geologicznych i hydrogeologicznych, w tym szczególnie dokumentacji złożowych kopalń rud żelaza oraz o danych hydrogeochemicznych. Z obszaru zbiornika wyeliminowano rejony występowania wód zanieczyszczonych w wyniku działalności górniczej i jej likwidacji, tj. południową i południowo- zachodnią część, na obszarze której występują zanieczyszczone wody podziemne.</w:t>
      </w:r>
    </w:p>
    <w:p>
      <w:pPr>
        <w:pStyle w:val="NoSpacing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spacing w:lineRule="auto" w:line="276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16"/>
        </w:numPr>
        <w:spacing w:before="0" w:after="160"/>
        <w:contextualSpacing/>
        <w:jc w:val="both"/>
        <w:rPr>
          <w:rFonts w:eastAsia="Calibri"/>
          <w:b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Formy ochrony przyrody, o których mowa w art. 6 ustawy z dnia 16 kwietnia 2004 r. o ochronie przyrody, zawierające nazwę formy ochrony przyrody oraz tytuł i miejsce ogłoszenia aktu prawnego tworzącego, ustanawiającego albo wyznaczającego formę ochrony przyrody oraz informacje o obszarach mających znaczenie dla Wspólnoty znajdujących się na liście, o której mowa w art. 27 ust. 1 tej ustawy.</w:t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</w:p>
    <w:p>
      <w:pPr>
        <w:pStyle w:val="Normal"/>
        <w:spacing w:before="0" w:after="1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Na części terenu aglomeracji Mokrsko występują następujące formy ochrony przyrody: </w:t>
      </w:r>
    </w:p>
    <w:p>
      <w:pPr>
        <w:pStyle w:val="Normal"/>
        <w:numPr>
          <w:ilvl w:val="0"/>
          <w:numId w:val="10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Zespół przyrodniczo - krajobrazowy „Wzgórza Ożarowskie” - Rozporządzenie Wojewody Sieradzkiego z dnia 31 lipca 1998 r. w sprawie wyznaczenia obszarów chronionego krajobrazu oraz uznania za zespoły przyrodniczo-krajobrazowe (Dz. Urz. Woj. Sieradzkiego  z 1998 r. Nr 20, poz. 115);</w:t>
      </w:r>
    </w:p>
    <w:p>
      <w:pPr>
        <w:pStyle w:val="ListParagraph"/>
        <w:numPr>
          <w:ilvl w:val="0"/>
          <w:numId w:val="10"/>
        </w:numPr>
        <w:spacing w:before="0" w:after="16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Pomnik przyrody: Lipa drobnolistna – </w:t>
      </w:r>
      <w:r>
        <w:rPr>
          <w:rFonts w:eastAsia="Calibri"/>
          <w:i/>
          <w:iCs/>
          <w:color w:val="000000" w:themeColor="text1"/>
        </w:rPr>
        <w:t>Tilia cordata</w:t>
      </w:r>
      <w:r>
        <w:rPr>
          <w:rFonts w:eastAsia="Calibri"/>
          <w:color w:val="000000" w:themeColor="text1"/>
        </w:rPr>
        <w:t xml:space="preserve"> - Rozporządzenie Wojewody Sieradzkiego z dnia 3 lutego 1998 r. w sprawie uznania za pomnik przyrody (Dz. Urz. Woj. Sieradzkiego, dn. 19.02.198 r. Nr 3, poz. 9).</w:t>
      </w:r>
    </w:p>
    <w:p>
      <w:pPr>
        <w:pStyle w:val="Normal"/>
        <w:spacing w:before="0" w:after="160"/>
        <w:ind w:left="567" w:hanging="0"/>
        <w:contextualSpacing/>
        <w:jc w:val="both"/>
        <w:rPr>
          <w:color w:val="000000" w:themeColor="text1"/>
        </w:rPr>
      </w:pPr>
      <w:r>
        <w:rPr/>
      </w:r>
    </w:p>
    <w:sectPr>
      <w:footerReference w:type="default" r:id="rId3"/>
      <w:type w:val="nextPage"/>
      <w:pgSz w:w="11906" w:h="16838"/>
      <w:pgMar w:left="1701" w:right="1134" w:header="0" w:top="567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24496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0ebc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20ebc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0eb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0e1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20eb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20e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20e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20e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0e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kik@mokrsko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LibreOffice/7.0.2.2$Windows_X86_64 LibreOffice_project/8349ace3c3162073abd90d81fd06dcfb6b36b994</Application>
  <Pages>10</Pages>
  <Words>2505</Words>
  <Characters>15498</Characters>
  <CharactersWithSpaces>17889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2020-12-01T12:13:00Z</dcterms:created>
  <dc:creator>Tadeusz</dc:creator>
  <dc:description/>
  <dc:language>pl-PL</dc:language>
  <cp:lastModifiedBy>Radosław Karczmar</cp:lastModifiedBy>
  <cp:lastPrinted>2020-12-07T06:47:00Z</cp:lastPrinted>
  <dcterms:modified xsi:type="dcterms:W3CDTF">2020-12-18T10:43:44Z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