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  <w:caps/>
        </w:rPr>
        <w:t xml:space="preserve"> Nr 100/14</w:t>
      </w:r>
      <w:r>
        <w:rPr>
          <w:b/>
          <w:caps/>
        </w:rPr>
        <w:br/>
      </w:r>
      <w:r>
        <w:rPr>
          <w:b/>
          <w:caps/>
        </w:rPr>
        <w:t>Wójta Gminy Mokrsko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września 2014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przeprowadzania konsultacji projektu uchwały Rady Gminy Mokrsko w sprawie uchwalenia Programu współpracy Gminy Mokrsko z organizacjami pozarządowymi  oraz innymi podmiotami wymienionymi w art. 3 ust. 3 ustawy o działalności pożytku publicznego i wolontariacie na 2015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 30 ust. 1 ustawy z dnia 8 marca 1990 r. o samorządzie gminnym (Dz. U. z 2013 r. poz. 645, poz. 1318, z 2014 r. poz. 379, poz. 1072), art.5a ust.1 ustawy z dnia 24 kwietnia 2003 r. o działalności pożytku publicznego i wolontariacie (Dz. U. z 2014 r. poz. 1118, poz. 1138, poz. 1146 ) oraz uchwały Rady Gminy Mokrsko Nr XLVII/280/14 z dnia 1 sierpnia 2014 r. w sprawie sposobu konsultowania z organizacjami pozarządowymi oraz innymi podmiotami wymienionymi w art. 3 ust. 3 ustawy o działalności pożytku publicznego i o wolontariacie projektów aktów prawa miejscowego w dziedzinach dotyczących działalności statutowej tych organizacji ( Dz. Urz. Woj. Łódz.2104.3257).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Ogłasza się przeprowadzenie w okresie od dnia 7 października 2014 r. do dnia 21 października 2014 r. konsultacji z organizacjami pozarządowymi oraz podmiotami wymienionymi w art. 3 ust. 3 ustawy z dnia 24 kwietnia 2003 r. o działalności pożytku publicznego i o wolontariacie, projektu uchwały Rady Gminy Mokrsko w sprawie uchwalenia Programu współpracy Gminy Mokrsko z organizacjami pozarządowymi oraz innymi podmiotami wymienionymi w art. 3 ust. 3 ustawy z dnia 24 kwietnia 2003 r. o działalności pożytku publicznego i o wolontariacie, na 2015 rok, stanowiącego załącznik Nr 1 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Ogłoszenie, o którym mowa w § 1 będzie zamieszczone w Biuletynie Informacji Publicznej,  na stronie internetowej Urzędu Gminy Mokrsko oraz na tablicach ogłoszeń w Urzędzie Gminy Mokrsko, nie później, niż w dniu 30 września 2014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Projekt uchwały Rady Gminy Mokrsko w sprawie uchwalenia Programu współpracy Gminy Mokrsko z organizacjami pozarządowymi oraz innymi podmiotami wymienionymi w art. 3 ust. 3 ustawy z dnia 24 kwietnia 2003 r. o działalności pożytku publicznego i o wolontariacie na 2015 rok, stanowi załącznik Nr 2 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Konsultacje, o których mowa w § 1 będą przeprowadzane w formie przyjmowania opinii i propozycji na piśmie, z wykorzystaniem formularza, którego wzór stanowi załącznik Nr 3 do niniejszego zarządzenia oraz w formie forum dyskusyjnego prowadzonego na stronie internetowej Urzędu Gminy Mokrsko.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p w:rsidR="00A77B3E">
      <w:pPr>
        <w:keepNext/>
        <w:bidi w:val="0"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bidi w:val="0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bidi w:val="0"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</w:pPr>
            <w:r>
              <w:rPr>
                <w:b w:val="0"/>
                <w:i w:val="0"/>
                <w:u w:val="none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t>Wójt Gminy Mokrsko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  <w:bdr w:val="nil"/>
                <w:rtl w:val="0"/>
              </w:rPr>
              <w:br/>
            </w:r>
            <w:r>
              <w:rPr>
                <w:b/>
              </w:rPr>
              <w:t>Tomasz Kącki</w:t>
            </w:r>
          </w:p>
        </w:tc>
      </w:tr>
    </w:tbl>
    <w:p/>
    <w:p>
      <w:pPr>
        <w:sectPr>
          <w:footerReference w:type="default" r:id="rId4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/>
        <w:spacing w:before="120" w:after="120" w:line="360" w:lineRule="auto"/>
        <w:ind w:left="4535" w:right="0" w:firstLine="0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 do Zarządzenia Nr 100/14</w:t>
      </w:r>
      <w:r>
        <w:br/>
      </w:r>
      <w:r>
        <w:t>Wójta Gminy Mokrsko</w:t>
      </w:r>
      <w:r>
        <w:br/>
      </w:r>
      <w:r>
        <w:t>z dnia 29 września 2014 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OGŁOSZENIE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Wójt Gminy Mokrsko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ogłasza przeprowadzenie konsultacji z organizacjami pozarządowymi oraz podmiotami, o których mowa w art. 3 ust. 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ustawy z dnia 24 kwietnia 2003 r. o działalności pożytku publicznego i o wolontariacie,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projektu uchwały Rady Gminy Mokrsko w sprawie uchwalenia Programu współpracy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Gminy Mokrsko z organizacjami pozarządowymi oraz podmiotami wymienionymi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art. 3 ust. 3 ustawy z dnia 24 kwietnia 2003 r. o działalności pożytku publicznego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 o wolontariacie na 2015 rok.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Konsultacje odbędą się w okresie od dnia 7 października 2014 r. do dnia 21 października 2014 r., w formie: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przyjmowania opinii i propozycji na piśmie, z wykorzystaniem formularza, którego wzór stanowi załącznik Nr 3 do niniejszego zarządzenia, możliwego do pobrania ze strony internetowej Urzędu Gminy Mokrsko, pod adresem: www.konsultacje.mokrsko.pl;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forum dyskusyjnego prowadzonego na stronie internetowej Urzędu Gminy Mokrsko pod adresem: www.forum.konsultacje.mokrsko.pl.</w:t>
      </w:r>
    </w:p>
    <w:p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Wypełnione formularze można przesyłać na adres email: p.baranowska@mokrsko.pl, lub złożyć w sekretariacie Urzędu Gminy w Mokrsku 231, pokój nr  7, w okresie trwania konsultacji.</w:t>
      </w:r>
    </w:p>
    <w:p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  <w:sectPr>
          <w:footerReference w:type="default" r:id="rId5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>
      <w:pPr>
        <w:keepNext/>
        <w:keepLines w:val="0"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 Nr 2 do Zarządzenia Nr 100/14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Wójta Gminy Mokrsko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 września 2014 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Program współpracy Gminy Mokrsko z organizacjami pozarządowymi oraz innymi podmiotami wymienionymi w art. 3 ust. 3 ustawy z dnia 24 kwietnia 2003 r. o działalności pożytku publicznego i o wolontariacie na 2015 rok.</w:t>
      </w:r>
    </w:p>
    <w:p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1.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Postanowienia ogólne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Ilekroć w Programie współpracy Gminy Mokrsko z organizacjami pozarządowymi oraz innymi podmiotami wymienionymi w art. 3 ust. 3 ustawy z dnia 24 kwietnia 2003 r. o działalności pożytku publicznego i wolontariacie na 2015 rok, zwanym dalej Programem, jest mowa o: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ustawie – należy przez to rozumieć ustawę z dnia 24 kwietnia 2003 r. o działalności pożytku publicznego i wolontariacie;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organizacjach pozarządowych - należy przez to rozumieć organizacje pozarządowe oraz podmioty, o których mowa w art. 3 ust. 3 ustawy;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zadaniach publicznych - należy przez to rozumieć zadania publiczne, o których mowa w art. 4 ust. 1 ustawy;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Wójcie – należy przez to rozumieć Wójta Gminy Mokrsko;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Gminie – należy przez to rozumieć Gminę Mokrsko;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Radzie Gminy – należy przez to rozumieć Radę Gminy Mokrsko;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7)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Urzędzie Gminy – należy przez to rozumieć Urząd Gminy Mokrsko;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8)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Pełnomocniku - należy przez to rozumieć Pełnomocnika Wójta Gminy Mokrsko ds.  Współpracy z Organizacjami Pozarządowymi;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9)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zespołach tematycznych - rozumie się przez to ciała inicjatywno-doradcze, działające przy komórkach organizacyjnych Urzędu;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10)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konkursach ofert - należy przez to rozumieć otwarte konkursy ofert na realizację zadań publicznych dla organizacji pozarządowych, ogłoszonych zgodnie z art. 13 ustawy;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ofercie - należy przez to rozumieć wypełniony wzór oferty realizacji zadania publicznego, o którym mowa w § 1 ust. 1 Rozporządzenia Ministra Pracy i Polityki Społecznej z dnia 15 grudnia 2010 r. w sprawie wzoru oferty i ramowego wzoru umowy dotyczących realizacji zadania publicznego oraz wzoru sprawozdania z wykonania tego zadania (Dz. U. Nr 6 z 2011 r., poz.25);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dotacji - należy przez to rozumieć podlegające szczególnym zasadom rozliczania wydatki budżetu Gminy przeznaczone na finansowanie lub dofinansowanie zadań zleconych do realizacji jednostkom nie zaliczonym do sektora finansów publicznych;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stronie internetowej – należy przez to rozumieć stronę internetową Urzędu Gminy.</w:t>
      </w:r>
    </w:p>
    <w:p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2.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Cel główny i cele szczegółowe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Celem głównym Programu jest kształtowanie społeczeństwa obywatelskiego poprzez budowanie partnerskich relacji Gminy z organizacjami pozarządowymi, służących rozwojowi Gminy i lepszemu zaspokajaniu potrzeb jej mieszkańców.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 celów szczegółowych Programu zalicza się: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wspieranie działań organizacji pozarządowych na rzecz Gminy oraz podejmowanych inicjatyw obywatelskich;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integrację organizacji pozarządowych;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popularyzowanie postaw obywatelskich, w tym wyrażających się poprzez wolontariat;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umacnianie w świadomości społecznej poczucia odpowiedzialności za siebie, swoje otoczenie, wspólnotę lokalną oraz jej otoczenie;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tworzenie warunków do zwiększenia aktywności społecznej mieszkańców Gminy;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prezentację dorobku środowiska organizacji pozarządowych oraz promowanie ich osiągnięć.</w:t>
      </w:r>
    </w:p>
    <w:p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3.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Zasady współpracy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Współpraca Gminy z organizacjami pozarządowymi odbywa się na zasadach partnerstwa, pomocniczości, suwerenności stron, efektywności, uczciwej konkurencji i jawności, przy czym: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zasada partnerstwa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oznacza dobrowolną współpracę równorzędnych sobie podmiotów prowadzącą do osiągania wytyczonych celów;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zasada pomocniczości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oznacza przekazywanie przez Gminę zadań do bezpośredniej realizacji organizacjom pozarządowym tam, gdzie istnieją ku temu odpowiednie warunki organizacyjne i finansowe;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zasada suwerenności stron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oznacza, że strony mają prawo do niezależności i odrębności w samodzielnym realizowaniu swojej działalności statutowej;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zasada efektywności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polega na wspólnym dążeniu do osiągnięcia możliwie jak najlepszych efektów, przy jak najmniejszych nakładach i poszanowaniu publicznych i prywatnych zasobów;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zasada uczciwej konkurencji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oznacza stosowanie jednakowych zasad w odniesieniu do wszystkich podmiotów współpracy;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6)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zasada jawności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oznacza, że informacje na temat wszystkich aspektów współpracy są dostępne dla zainteresowanych, a wyniki współpracy są upowszechniane w sposób zapewniający dostęp do nich.</w:t>
      </w:r>
    </w:p>
    <w:p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4.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Zakres przedmiotowy współpracy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Współpraca Gminy z organizacjami pozarządowymi dotyczy realizacji zadań publicznych należących do zakresu zadań własnych Gminy, w szczególności: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podtrzymywania i upowszechniania tradycji narodowej, pielęgnowania polskości oraz rozwoju świadomości narodowej, obywatelskiej i kulturowej;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działalności wspomagającej rozwój wspólnot i społeczności lokalnych;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kultury, sztuki, ochrony dóbr kultury i dziedzictwa narodowego;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wspierania i upowszechniania kultury fizycznej;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przeciwdziałania uzależnieniom i patologiom społecznym.</w:t>
      </w:r>
    </w:p>
    <w:p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5.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Formy współpracy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Współpraca Gminy z organizacjami pozarządowymi obejmuje współpracę o charakterze finansowym i pozafinansowym.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Współpraca o charakterze finansowym pomiędzy Gminą a organizacjami pozarządowymi może być realizowana w szczególności poprzez zlecanie organizacjom pozarządowym realizacji zadań publicznych na zasadach określonych w ustawie w formie powierzenia lub wspierania realizacji zadań publicznych w trybie konkursu ofert, z wyłączeniem przypadków wyłączonych ustawą do stosowania innego trybu.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Środki finansowe na realizację zadań publicznych mogą być przyznawane, w szczególności poprzez: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otwarte konkursy ofert lub z pominięciem otwartych konkursów ofert, przy zastosowaniu trybu określonego w art. 19a ustawy;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umowy partnerskie, określone w ustawie z dnia 6 grudnia 2006 r. o zasadach prowadzenia polityki rozwoju (Dz. U. z 2009 r. Nr 84, poz. 712 i Nr 157, poz. 1241, z 2011 r. Nr 279, poz. 1644, z 2012 r. poz. 1237 oraz z 2013 r. poz. 714);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umowy o wykonanie inicjatywy lokalnej, określonej odrębną uchwałą Rady.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9.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Organizacje pozarządowe mogą również występować w procedurach dotyczących zakupu przez Gminę potrzebnych usług w trybie i na zasadach przewidzianych w ustawie z dnia 29 stycznia 2004 r. – Prawo zamówień publicznych (Dz. U. z 2013 r. poz. 907, 984 i 1047).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10.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 realizację zadań Gminy we współpracy z organizacjami pozarządowymi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2015 r. określa się kwotę nie wyższą łącznie niż 80 000 zł.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 realizację umów o wykonanie inicjatywy lokalnej planuje się określenie rezerwy celowej w wysokości przyjętej przez Radę w budżecie Gminy na 2015 r.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Ostateczna kwota środków na realizację zadań we współpracy z organizacjami pozarządowymi w 2015 r. zostanie potwierdzona przez Radę w postaci budżetu Gminy uchwalonego na 2015 r.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Współpraca pozafinansowa Gminy i organizacji pozarządowych będzie obejmowała w szczególności: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wzajemne informowanie się o planowanych kierunkach działalności i współdziałanie w celu podejmowania wspólnych działań;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współpraca z zespołami tematycznymi o charakterze doradczym i inicjatywnym;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konsultowanie z organizacjami pozarządowymi, odpowiednio do zakresu ich działania, projektów aktów prawa miejscowego, w szczególności poprzez udostępnienie projektów uchwał w dziedzinach dotyczących działalności statutowej tych organizacji, w celu uzyskania ich opinii i propozycji;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udostępnianie mienia Gminy, w tym użyczanie sprzętu, udostępnianie sal Urzędu, itp.;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organizowanie otwartych spotkań przedstawicieli organizacji z przedstawicielami Gminy;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wspólne rozpoznawanie potrzeb społeczności lokalnej i wspólne planowanie działań służących zaspokojeniu potrzeb społecznych;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7)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promowanie przez Gminę działalności i osiągnięć organizacji pozarządowych, w tym udzielanie patronatów Wójta dla poszczególnych przedsięwzięć organizacji pozarządowych;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8)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wykorzystanie narzędzi informacyjno – promocyjnych oraz dostępu do infrastruktury Gminy dla potrzeb organizacji pozarządowych, zwłaszcza strony internetowej;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9)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świadczenie usług doradczych i szkoleniowych dla organizacji i inicjatyw obywatelskich przez Centrum Współpracy Organizacji Pozarządowych, w tym pomoc w przygotowaniu ofert do konkursów ofert;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10)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wspieranie organizacji pozarządowych w zakresie nawiązywania współpracy międzynarodowej, czy tworzenia partnerstw oraz współdziałanie w ramach partnerstw z udziałem Gminy;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organizowanie dni organizacji pozarządowych.</w:t>
      </w:r>
    </w:p>
    <w:p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6.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Priorytetowe zadania publiczne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Zadaniami priorytetowymi współpracy Gminy z organizacjami pozarządowymi są: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podtrzymywania tradycji narodowej, pielęgnowania polskości oraz rozwoju świadomości narodowej, obywatelskiej i kulturowej, a zwłaszcza organizowanie imprez o zasięgu lokalnym z nastawieniem na kultywowanie tradycji;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upowszechniania kultury fizycznej, a zwłaszcza organizowanie zawodów sportowych i spartakiad.</w:t>
      </w:r>
    </w:p>
    <w:p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7.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Okres realizacji Programu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15.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Okresem realizacji Programu jest rok 2015.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8.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Sposób realizacji Programu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16.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Głównymi podmiotami realizującymi po stronie Gminy współpracę z organizacjami pozarządowymi będą w 2015 r.: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Rada i jej komisje w zakresie ustalania kierunków tej współpracy;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Wójt, w zakresie sposobu realizacji Programu, a w szczególności:</w:t>
      </w:r>
    </w:p>
    <w:p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dysponowania środkami na ten cel w ramach budżetu Gminy;</w:t>
      </w:r>
    </w:p>
    <w:p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ogłaszania konkursów ofert na realizację zadań publicznych;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Pełnomocnik w zakresie bieżących kontaktów z organizacjami pozarządowymi i pomocy w realizacji ich działań na rzecz Gminy;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Komisje Konkursowe w zakresie opiniowania ofert w konkursach ofert;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zespoły tematyczne w zakresie inspirowania i opiniowania form współpracy;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komórki organizacyjne Urzędu Gminy w zakresie: bieżących kontaktów z organizacjami pozarządowymi, udziału w przygotowywaniu i konsultacjach projektu Programu, przygotowywania i obsługi konkursów ofert na realizację zadań publicznych, w tym udzielania informacji o sposobie wypełniania ofert w ww. konkursach, sprawdzania ofert pod względem formalnym, upubliczniania wyników konkursów ofert, sporządzania umów z organizacjami pozarządowymi, których oferty zostały wybrane do realizacji w konkursach ofert, nadzoru nad realizacją zadań publicznych i kontroli wydatkowania dotacji oraz w zakresie sporządzania sprawozdań z realizacji Programu;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17.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Podstawową formą zlecania zadań publicznych przez Gminę jest otwarty konkurs ofert, chyba, że przepisy odrębne przewidują inny tryb zlecenia.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9.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Sposób oceny realizacji Programu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18.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 oceny realizacji Programu stosowane są następujące mierniki ilościowe: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ilość organizacji pozarządowych podejmujących zadania publiczne na rzecz lokalnej społeczności we współpracy z samorządem;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liczba osób, które były adresatami zadań publicznych zleconych do realizacji Programu;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wysokość środków finansowych przeznaczonych z budżetu Gminy na realizację zadań publicznych we współpracy z organizacjami pozarządowymi.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19.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Organizacje pozarządowe mogą zgłaszać swoje uwagi i propozycje dotyczące oceny sposobu realizacji Programu na piśmie kierując je do Gminy do dnia 31 marca następującego po roku realizacji Programu.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10.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Informacja o sposobie tworzenia Programu oraz o przebiegu konsultacji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20.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Program współpracy Gminy z organizacjami pozarządowymi na rok 2015 został przygotowany z uwzględnieniem Programu Wieloletniego Współpracy Gminy Mokrsko we współpracy organizacjami pozarządowymi, biorącymi udział w pracy Międzysektorowego Zespołu Roboczego.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Konsultacje projektu Programu odbyły się zgodnie z uchwałą Rady Gminy Mokrsko z dnia 1 sierpnia 2014 r. w sprawie szczegółowego sposobu konsultowania z organizacjami pozarządowymi i podmiotami, o których mowa w art. 3 ust. 3 ustawy z dnia 24 kwietnia 2004 r. o działalności pożytku publicznego i o wolontariacie, projektów aktów prawa miejscowego w dziedzinach dotyczących działalności statutowej tych organizacji ( Dz. Urz. Woj. Łódz.2104.3257).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efekcie przeprowadzonych konsultacji wpłynęło......... propozycji i ….. opinii, z których ..... przyjęto, natomiast ...... odrzucono.</w:t>
      </w:r>
    </w:p>
    <w:p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  <w:caps w:val="0"/>
        </w:rPr>
        <w:t>Rozdział 11.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Tryb powoływania i zasady działania komisji konkursowych do opiniowania ofert w otwartych konkursach ofert.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23.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Oferty złożone w konkursie ofert opiniuje Komisja Konkursowa, zwana dalej Komisją, powołana zarządzeniem Wójta, która zobowiązana jest do sprawdzenia złożonych ofert pod względem formalnym, oceny merytorycznej ofert oraz przedłożenie wyników swojej pracy Wójtowi.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skład Komisji wchodzi nie mniej niż 5 osób, w tym: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co najmniej dwie osoby wskazane przez organizacje pozarządowe, z zastrzeżeniem zawartym w ust.3;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co najmniej trzech przedstawicieli organu wykonawczego Gminy.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skład Komisji nie mogą wchodzić osoby wskazane przez organizacje pozarządowe biorące udział w konkursie ofert.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Komisja może działać bez udziału przedstawiciela organizacji pozarządowej, jeżeli: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żadna organizacja pozarządowa nie wskaże osób do składu komisji konkursowej,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wskazane osoby nie wezmą udziału w pracach komisji konkursowej.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wszystkie powołane w skład komisji konkursowej osoby podlegają wyłączeniu na podstawie art. 15 ust. 2d lub art. 15 ust. 2f ustawy.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Pracami komisji konkursowej kieruje wyznaczony przez Wójta Przewodniczący Komisji, zwany dalej Przewodniczącym, odpowiedzialny w szczególności za: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przygotowanie prac Komisji;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przewodniczenie posiedzeniom Komisji.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Komisja zobowiązana jest do sprawdzenia kompletności złożonych ofert i ich poprawności pod względem formalnym oraz oceny merytorycznej ofert.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7. 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pracach Komisji mogą uczestniczyć osoby wyznaczone do obsługi organizacyjno- technicznej konkursu, a także, na zaproszenie Przewodniczącego, osoby, z głosem doradczym, posiadające wiedzę specjalistyczną w dziedzinie objętej konkursem.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8. 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 zakończeniu prac Komisji, sporządza się protokół, który podpisuje Przewodniczący oraz wszyscy członkowie Komisji biorący udział w jej pracach.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9. 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Przewodniczący przekazuje niezwłocznie podpisany protokół z prac Komisji Wójtowi.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24.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 dokonaniu wyboru ofert, na stronie internetowej Urzędu, Biuletynie Informacji Publicznej Gminy oraz na tablicy ogłoszeń Urzędu zostaje zamieszczony wykaz podmiotów oraz zleconych im zadań wraz z przyznanymi kwotami dotacji.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Wykaz, o którym mowa w ust. 1, zawiera w szczególności: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nazwę podmiotu ubiegającego się o dofinansowanie;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tytuł oferty;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tytuł zadania;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wysokość całkowitych kosztów realizacji zadania;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  <w:sectPr>
          <w:footerReference w:type="default" r:id="rId6"/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wysokość przyznanej dotacji.</w:t>
      </w:r>
    </w:p>
    <w:p>
      <w:pPr>
        <w:pStyle w:val="Normal0"/>
        <w:keepNext w:val="0"/>
        <w:keepLines w:val="0"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</w:pPr>
    </w:p>
    <w:p>
      <w:pPr>
        <w:pStyle w:val="Normal0"/>
        <w:keepNext/>
        <w:keepLines w:val="0"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  <w:t>Załącznik Nr 3 do Zarządzenia Nr 100/14</w:t>
        <w:br/>
        <w:t>Wójta Gminy Mokrsko</w:t>
        <w:br/>
        <w:t>z dnia 29 września 2014 r.</w:t>
      </w:r>
    </w:p>
    <w:p>
      <w:pPr>
        <w:pStyle w:val="Normal0"/>
        <w:keepNext/>
        <w:keepLines w:val="0"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highlight w:val="none"/>
          <w:u w:val="none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highlight w:val="none"/>
          <w:u w:val="none"/>
          <w:vertAlign w:val="baseline"/>
        </w:rPr>
        <w:t>Formularz konsultacji projektu uchwały Rady Gminy Mokrsko w sprawie uchwalenia Programu współpracy</w:t>
        <w:br/>
        <w:t>Gminy Mokrsko z organizacjami pozarządowymi oraz podmiotami wymienionymi</w:t>
        <w:br/>
        <w:t>w art. 3 ust. 3 ustawy z dnia 24 kwietnia 2003 r. o działalności pożytku publicznego</w:t>
        <w:br/>
        <w:t>i o wolontariacie na 2015 rok.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</w:tblPr>
      <w:tblGrid>
        <w:gridCol w:w="464"/>
        <w:gridCol w:w="3119"/>
        <w:gridCol w:w="5216"/>
        <w:gridCol w:w="1387"/>
      </w:tblGrid>
      <w:tr>
        <w:tblPrEx>
          <w:tblW w:w="5000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hidden/>
        </w:trPr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highlight w:val="none"/>
                <w:u w:val="none"/>
                <w:vertAlign w:val="baseline"/>
              </w:rPr>
              <w:t>Lp.</w:t>
            </w: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highlight w:val="none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highlight w:val="none"/>
                <w:u w:val="none"/>
                <w:vertAlign w:val="baseline"/>
              </w:rPr>
              <w:t>Obecny zapis w projekcie uchwały (nr paragrafu, ustępu i punktu)</w:t>
            </w: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highlight w:val="none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highlight w:val="none"/>
                <w:u w:val="none"/>
                <w:vertAlign w:val="baseline"/>
              </w:rPr>
              <w:t>Proponowana zmiana( proszę podać nowe sformułowanie lub opinię o Programie - nr paragrafu, ustępu i punktu)</w:t>
            </w: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highlight w:val="none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highlight w:val="none"/>
                <w:u w:val="none"/>
                <w:vertAlign w:val="baseline"/>
              </w:rPr>
              <w:t>Uzasadnienie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33"/>
        </w:trPr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33"/>
        </w:trPr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33"/>
        </w:trPr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  <w:tc>
          <w:tcPr>
            <w:tcBorders>
              <w:top w:val="thick" w:sz="4" w:space="0" w:color="000000"/>
              <w:left w:val="thick" w:sz="4" w:space="0" w:color="000000"/>
              <w:bottom w:val="thick" w:sz="4" w:space="0" w:color="000000"/>
              <w:right w:val="thick" w:sz="4" w:space="0" w:color="000000"/>
            </w:tcBorders>
            <w:noWrap w:val="0"/>
            <w:tcMar>
              <w:top w:w="60" w:type="dxa"/>
              <w:left w:w="60" w:type="dxa"/>
              <w:right w:w="60" w:type="dxa"/>
            </w:tcMar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18"/>
                <w:highlight w:val="none"/>
                <w:u w:val="none"/>
                <w:vertAlign w:val="baseline"/>
              </w:rPr>
            </w:pPr>
          </w:p>
        </w:tc>
      </w:tr>
    </w:tbl>
    <w:p>
      <w:pPr>
        <w:pStyle w:val="Normal0"/>
        <w:keepNext w:val="0"/>
        <w:keepLines w:val="0"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suppressAutoHyphens w:val="0"/>
        <w:spacing w:before="240" w:beforeAutospacing="0" w:after="20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highlight w:val="none"/>
          <w:u w:val="none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highlight w:val="none"/>
          <w:u w:val="none"/>
          <w:vertAlign w:val="baseline"/>
        </w:rPr>
        <w:t>Opinia o Programie współpracy Gminy Mokrsko z organizacjami pozarządowymi oraz podmiotami wymienionymi w art. 3 ust. 3 ustawy z dnia 24 kwietnia 2003 r. o działalności pożytku publicznego i o wolontariacie na 2015 r. wraz z uzasadnieniem wyboru.</w:t>
      </w:r>
    </w:p>
    <w:p>
      <w:pPr>
        <w:pStyle w:val="Normal0"/>
        <w:keepNext w:val="0"/>
        <w:keepLines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suppressAutoHyphens w:val="0"/>
        <w:spacing w:before="120" w:beforeAutospacing="0" w:after="120" w:afterAutospacing="0" w:line="240" w:lineRule="auto"/>
        <w:ind w:left="227" w:right="0" w:hanging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highlight w:val="none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  <w:t>a) 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highlight w:val="none"/>
          <w:u w:val="none"/>
          <w:vertAlign w:val="baseline"/>
        </w:rPr>
        <w:t>pozytywna; b) raczej pozytywna; c) trudno powiedzieć; d) raczej negatywna; e) negatywna</w:t>
      </w:r>
    </w:p>
    <w:p>
      <w:pPr>
        <w:pStyle w:val="Normal0"/>
        <w:keepNext w:val="0"/>
        <w:keepLines w:val="0"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18"/>
          <w:highlight w:val="none"/>
          <w:u w:val="none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18"/>
          <w:highlight w:val="none"/>
          <w:u w:val="none"/>
          <w:vertAlign w:val="baseline"/>
        </w:rPr>
        <w:t>(proszę podkreślić właściwą odpowiedź)</w:t>
      </w:r>
    </w:p>
    <w:p>
      <w:pPr>
        <w:pStyle w:val="Normal0"/>
        <w:keepNext w:val="0"/>
        <w:keepLines w:val="0"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tabs>
          <w:tab w:val="right" w:leader="middleDot" w:pos="10205"/>
        </w:tabs>
        <w:suppressAutoHyphens w:val="0"/>
        <w:spacing w:before="260" w:beforeAutospacing="0" w:after="120" w:afterAutospacing="0" w:line="36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</w:rPr>
        <w:tab/>
      </w:r>
    </w:p>
    <w:p>
      <w:pPr>
        <w:pStyle w:val="Normal0"/>
        <w:keepNext w:val="0"/>
        <w:keepLines w:val="0"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tabs>
          <w:tab w:val="right" w:leader="middleDot" w:pos="10205"/>
        </w:tabs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</w:rPr>
        <w:tab/>
      </w:r>
    </w:p>
    <w:p>
      <w:pPr>
        <w:pStyle w:val="Normal0"/>
        <w:keepNext w:val="0"/>
        <w:keepLines w:val="0"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tabs>
          <w:tab w:val="right" w:leader="middleDot" w:pos="10205"/>
        </w:tabs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</w:rPr>
        <w:tab/>
      </w:r>
    </w:p>
    <w:p>
      <w:pPr>
        <w:pStyle w:val="Normal0"/>
        <w:keepNext w:val="0"/>
        <w:keepLines w:val="0"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  <w:t>Dane podmiotu wypełniającego formularz:</w:t>
      </w:r>
    </w:p>
    <w:p>
      <w:pPr>
        <w:pStyle w:val="Normal0"/>
        <w:keepNext w:val="0"/>
        <w:keepLines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tabs>
          <w:tab w:val="right" w:leader="dot" w:pos="10065"/>
          <w:tab w:val="right" w:leader="dot" w:pos="10206"/>
        </w:tabs>
        <w:suppressAutoHyphens w:val="0"/>
        <w:spacing w:before="220" w:beforeAutospacing="0" w:after="120" w:afterAutospacing="0" w:line="36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  <w:t>1. Nazwa podmiotu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  <w:lang w:val="pl-PL" w:eastAsia="pl-PL" w:bidi="pl-PL"/>
        </w:rPr>
        <w:t xml:space="preserve">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  <w:lang w:val="pl-PL" w:eastAsia="pl-PL" w:bidi="pl-PL"/>
        </w:rPr>
        <w:tab/>
      </w:r>
    </w:p>
    <w:p>
      <w:pPr>
        <w:pStyle w:val="Normal0"/>
        <w:keepNext w:val="0"/>
        <w:keepLines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tabs>
          <w:tab w:val="right" w:leader="dot" w:pos="10206"/>
        </w:tabs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  <w:t>2. Adres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</w:rPr>
        <w:tab/>
      </w:r>
    </w:p>
    <w:p>
      <w:pPr>
        <w:pStyle w:val="Normal0"/>
        <w:keepNext w:val="0"/>
        <w:keepLines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tabs>
          <w:tab w:val="right" w:leader="dot" w:pos="10206"/>
        </w:tabs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  <w:t>3. Numer telefonu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</w:rPr>
        <w:tab/>
      </w:r>
    </w:p>
    <w:p>
      <w:pPr>
        <w:pStyle w:val="Normal0"/>
        <w:keepNext w:val="0"/>
        <w:keepLines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tabs>
          <w:tab w:val="right" w:leader="dot" w:pos="10206"/>
        </w:tabs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  <w:t>4. Adres poczty elektronicznej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</w:rPr>
        <w:tab/>
      </w:r>
    </w:p>
    <w:p>
      <w:pPr>
        <w:pStyle w:val="Normal0"/>
        <w:keepNext w:val="0"/>
        <w:keepLines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tabs>
          <w:tab w:val="right" w:leader="dot" w:pos="10206"/>
        </w:tabs>
        <w:suppressAutoHyphens w:val="0"/>
        <w:spacing w:before="120" w:beforeAutospacing="0" w:after="120" w:afterAutospacing="0" w:line="36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  <w:t>5. Imię i nazwisko osoby wypełniającej formularz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</w:rPr>
        <w:tab/>
      </w:r>
    </w:p>
    <w:p>
      <w:pPr>
        <w:pStyle w:val="Normal0"/>
        <w:keepNext w:val="0"/>
        <w:keepLines/>
        <w:widowControl/>
        <w:suppressLineNumbers w:val="0"/>
        <w:pBdr>
          <w:top w:val="nil"/>
          <w:left w:val="nil"/>
          <w:bottom w:val="nil"/>
          <w:right w:val="nil"/>
        </w:pBdr>
        <w:shd w:val="clear" w:color="auto" w:fill="auto"/>
        <w:tabs>
          <w:tab w:val="right" w:leader="dot" w:pos="10206"/>
        </w:tabs>
        <w:suppressAutoHyphens w:val="0"/>
        <w:spacing w:before="120" w:beforeAutospacing="0" w:after="0" w:afterAutospacing="0" w:line="360" w:lineRule="auto"/>
        <w:ind w:left="0" w:right="0" w:firstLine="0"/>
        <w:contextualSpacing w:val="0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highlight w:val="none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highlight w:val="none"/>
          <w:u w:val="none"/>
          <w:vertAlign w:val="baseline"/>
        </w:rPr>
        <w:t>6. Data wypełnienia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16"/>
          <w:highlight w:val="none"/>
          <w:u w:val="none"/>
          <w:vertAlign w:val="baseline"/>
        </w:rPr>
        <w:tab/>
      </w:r>
    </w:p>
    <w:sectPr>
      <w:footerReference w:type="default" r:id="rId7"/>
      <w:type w:val="nextPage"/>
      <w:pgSz w:w="11906" w:h="16838" w:code="0"/>
      <w:pgMar w:top="850" w:right="850" w:bottom="1417" w:left="85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Mokrsko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100/14 z dnia 29 września 2014 r.</dc:title>
  <dc:subject>w sprawie przeprowadzania konsultacji projektu uchwały Rady Gminy Mokrsko w^sprawie uchwalenia Programu współpracy Gminy Mokrsko z^organizacjami pozarządowymi  oraz innymi podmiotami wymienionymi w^art.^3^ust.^3^ustawy o^działalności pożytku publicznego i^wolontariacie na 2015^rok.</dc:subject>
  <dc:creator>Administrator</dc:creator>
  <cp:lastModifiedBy>Administrator</cp:lastModifiedBy>
  <cp:revision>1</cp:revision>
  <dcterms:created xsi:type="dcterms:W3CDTF">2014-10-01T08:56:46Z</dcterms:created>
  <dcterms:modified xsi:type="dcterms:W3CDTF">2014-10-01T08:56:46Z</dcterms:modified>
  <cp:category>Akt prawny</cp:category>
</cp:coreProperties>
</file>